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2FA91" w14:textId="7F2F4437" w:rsidR="000028CD" w:rsidRPr="00054360" w:rsidRDefault="000028CD" w:rsidP="00AD0B10">
      <w:pPr>
        <w:pStyle w:val="NoSpacing1"/>
        <w:ind w:firstLine="0"/>
        <w:jc w:val="center"/>
        <w:rPr>
          <w:rFonts w:asciiTheme="minorHAnsi" w:hAnsiTheme="minorHAnsi" w:cstheme="minorHAnsi"/>
        </w:rPr>
      </w:pPr>
    </w:p>
    <w:p w14:paraId="53590118" w14:textId="31BADAA7" w:rsidR="00672231" w:rsidRPr="0069032F" w:rsidRDefault="00672231" w:rsidP="00AD0B10">
      <w:pPr>
        <w:pStyle w:val="NoSpacing1"/>
        <w:ind w:firstLine="0"/>
        <w:jc w:val="center"/>
        <w:rPr>
          <w:rFonts w:asciiTheme="minorHAnsi" w:hAnsiTheme="minorHAnsi" w:cstheme="minorHAnsi"/>
        </w:rPr>
      </w:pPr>
    </w:p>
    <w:p w14:paraId="6862FAE7" w14:textId="38405FA3" w:rsidR="00672231" w:rsidRPr="0069032F" w:rsidRDefault="00672231" w:rsidP="00AD0B10">
      <w:pPr>
        <w:pStyle w:val="NoSpacing1"/>
        <w:ind w:firstLine="0"/>
        <w:jc w:val="center"/>
        <w:rPr>
          <w:rFonts w:asciiTheme="minorHAnsi" w:hAnsiTheme="minorHAnsi" w:cstheme="minorHAnsi"/>
        </w:rPr>
      </w:pPr>
    </w:p>
    <w:p w14:paraId="18A1C363" w14:textId="10D17845" w:rsidR="00672231" w:rsidRPr="0069032F" w:rsidRDefault="00672231" w:rsidP="00AD0B10">
      <w:pPr>
        <w:pStyle w:val="NoSpacing1"/>
        <w:ind w:firstLine="0"/>
        <w:jc w:val="center"/>
        <w:rPr>
          <w:rFonts w:asciiTheme="minorHAnsi" w:hAnsiTheme="minorHAnsi" w:cstheme="minorHAnsi"/>
        </w:rPr>
      </w:pPr>
    </w:p>
    <w:p w14:paraId="4EFFB799" w14:textId="43333BD4" w:rsidR="00672231" w:rsidRPr="0069032F" w:rsidRDefault="00672231" w:rsidP="00AD0B10">
      <w:pPr>
        <w:pStyle w:val="NoSpacing1"/>
        <w:ind w:firstLine="0"/>
        <w:jc w:val="center"/>
        <w:rPr>
          <w:rFonts w:asciiTheme="minorHAnsi" w:hAnsiTheme="minorHAnsi" w:cstheme="minorHAnsi"/>
        </w:rPr>
      </w:pPr>
    </w:p>
    <w:p w14:paraId="1F8B064A" w14:textId="337D094B" w:rsidR="00672231" w:rsidRPr="0069032F" w:rsidRDefault="00672231" w:rsidP="00AD0B10">
      <w:pPr>
        <w:pStyle w:val="NoSpacing1"/>
        <w:ind w:firstLine="0"/>
        <w:jc w:val="center"/>
        <w:rPr>
          <w:rFonts w:asciiTheme="minorHAnsi" w:hAnsiTheme="minorHAnsi" w:cstheme="minorHAnsi"/>
        </w:rPr>
      </w:pPr>
    </w:p>
    <w:p w14:paraId="5EDA55DD" w14:textId="791CF465" w:rsidR="00672231" w:rsidRPr="0069032F" w:rsidRDefault="00672231" w:rsidP="00AD0B10">
      <w:pPr>
        <w:pStyle w:val="NoSpacing1"/>
        <w:ind w:firstLine="0"/>
        <w:jc w:val="center"/>
        <w:rPr>
          <w:rFonts w:asciiTheme="minorHAnsi" w:hAnsiTheme="minorHAnsi" w:cstheme="minorHAnsi"/>
        </w:rPr>
      </w:pPr>
    </w:p>
    <w:p w14:paraId="66D8C338" w14:textId="24C6375A" w:rsidR="00672231" w:rsidRPr="0069032F" w:rsidRDefault="00672231" w:rsidP="00AD0B10">
      <w:pPr>
        <w:pStyle w:val="NoSpacing1"/>
        <w:ind w:firstLine="0"/>
        <w:jc w:val="center"/>
        <w:rPr>
          <w:rFonts w:asciiTheme="minorHAnsi" w:hAnsiTheme="minorHAnsi" w:cstheme="minorHAnsi"/>
        </w:rPr>
      </w:pPr>
    </w:p>
    <w:p w14:paraId="634642C6" w14:textId="77777777" w:rsidR="00672231" w:rsidRPr="0069032F" w:rsidRDefault="00672231" w:rsidP="00AD0B10">
      <w:pPr>
        <w:pStyle w:val="NoSpacing1"/>
        <w:ind w:firstLine="0"/>
        <w:jc w:val="center"/>
        <w:rPr>
          <w:rFonts w:asciiTheme="minorHAnsi" w:hAnsiTheme="minorHAnsi" w:cstheme="minorHAnsi"/>
        </w:rPr>
      </w:pPr>
    </w:p>
    <w:p w14:paraId="0D636BD7" w14:textId="77777777" w:rsidR="000028CD" w:rsidRPr="0069032F" w:rsidRDefault="000028CD" w:rsidP="00AD0B10">
      <w:pPr>
        <w:pStyle w:val="NoSpacing1"/>
        <w:ind w:firstLine="0"/>
        <w:jc w:val="center"/>
        <w:rPr>
          <w:rFonts w:asciiTheme="minorHAnsi" w:hAnsiTheme="minorHAnsi" w:cstheme="minorHAnsi"/>
        </w:rPr>
      </w:pPr>
      <w:r w:rsidRPr="0069032F">
        <w:rPr>
          <w:rFonts w:asciiTheme="minorHAnsi" w:hAnsiTheme="minorHAnsi" w:cstheme="minorHAnsi"/>
          <w:noProof/>
          <w:lang w:eastAsia="lt-LT"/>
        </w:rPr>
        <w:drawing>
          <wp:inline distT="0" distB="0" distL="0" distR="0" wp14:anchorId="06AB0AE5" wp14:editId="6ACD94C2">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14:paraId="3A2CBE72" w14:textId="77777777" w:rsidR="000028CD" w:rsidRPr="0069032F" w:rsidRDefault="000028CD" w:rsidP="00AD0B10">
      <w:pPr>
        <w:pStyle w:val="NoSpacing1"/>
        <w:ind w:firstLine="0"/>
        <w:jc w:val="center"/>
        <w:rPr>
          <w:rFonts w:asciiTheme="minorHAnsi" w:hAnsiTheme="minorHAnsi" w:cstheme="minorHAnsi"/>
        </w:rPr>
      </w:pPr>
    </w:p>
    <w:p w14:paraId="6192DCC0" w14:textId="77777777" w:rsidR="000028CD" w:rsidRPr="0069032F" w:rsidRDefault="000028CD" w:rsidP="00AD0B10">
      <w:pPr>
        <w:pStyle w:val="NoSpacing1"/>
        <w:ind w:firstLine="0"/>
        <w:jc w:val="center"/>
        <w:rPr>
          <w:rFonts w:asciiTheme="minorHAnsi" w:hAnsiTheme="minorHAnsi" w:cstheme="minorHAnsi"/>
        </w:rPr>
      </w:pPr>
    </w:p>
    <w:p w14:paraId="571347C6" w14:textId="77777777" w:rsidR="000028CD" w:rsidRPr="0069032F" w:rsidRDefault="000028CD" w:rsidP="00AD0B10">
      <w:pPr>
        <w:pStyle w:val="NoSpacing1"/>
        <w:ind w:firstLine="0"/>
        <w:jc w:val="center"/>
        <w:rPr>
          <w:rFonts w:asciiTheme="minorHAnsi" w:hAnsiTheme="minorHAnsi" w:cstheme="minorHAnsi"/>
        </w:rPr>
      </w:pPr>
    </w:p>
    <w:p w14:paraId="19B55917" w14:textId="77777777" w:rsidR="000028CD" w:rsidRPr="0069032F" w:rsidRDefault="000028CD" w:rsidP="00AD0B10">
      <w:pPr>
        <w:pStyle w:val="NoSpacing1"/>
        <w:ind w:firstLine="0"/>
        <w:jc w:val="center"/>
        <w:rPr>
          <w:rFonts w:asciiTheme="minorHAnsi" w:hAnsiTheme="minorHAnsi" w:cstheme="minorHAnsi"/>
        </w:rPr>
      </w:pPr>
      <w:r w:rsidRPr="0069032F">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6BD0BEB3" wp14:editId="4230CC58">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FE037"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" o:allowincell="f" fillcolor="#365f91" strokecolor="#31849b">
                <w10:wrap anchorx="page" anchory="page"/>
              </v:rect>
            </w:pict>
          </mc:Fallback>
        </mc:AlternateContent>
      </w:r>
      <w:r w:rsidRPr="0069032F">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51C146C" wp14:editId="014865E1">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ABE41"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" o:allowincell="f" fillcolor="#365f91" strokecolor="#17365d">
                <w10:wrap anchorx="page" anchory="page"/>
              </v:rect>
            </w:pict>
          </mc:Fallback>
        </mc:AlternateContent>
      </w:r>
      <w:r w:rsidRPr="0069032F">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517918C4" wp14:editId="2DB8019B">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D4ADF"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" o:allowincell="f" strokecolor="#17365d">
                <w10:wrap anchorx="page" anchory="page"/>
              </v:rect>
            </w:pict>
          </mc:Fallback>
        </mc:AlternateContent>
      </w:r>
      <w:r w:rsidRPr="0069032F">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0722538E" wp14:editId="4AEC238F">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30FC5"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" o:allowincell="f" strokecolor="#17365d">
                <w10:wrap anchorx="page" anchory="page"/>
              </v:rect>
            </w:pict>
          </mc:Fallback>
        </mc:AlternateContent>
      </w:r>
    </w:p>
    <w:p w14:paraId="5D2778E2" w14:textId="77777777" w:rsidR="000028CD" w:rsidRPr="00AB500B" w:rsidRDefault="000028CD" w:rsidP="00AD0B10">
      <w:pPr>
        <w:pStyle w:val="NoSpacing1"/>
        <w:ind w:firstLine="0"/>
        <w:jc w:val="center"/>
        <w:rPr>
          <w:rFonts w:asciiTheme="minorHAnsi" w:hAnsiTheme="minorHAnsi" w:cstheme="minorHAnsi"/>
          <w:smallCaps/>
          <w:sz w:val="52"/>
          <w:szCs w:val="52"/>
        </w:rPr>
      </w:pPr>
      <w:r w:rsidRPr="00AB500B">
        <w:rPr>
          <w:rFonts w:asciiTheme="minorHAnsi" w:hAnsiTheme="minorHAnsi" w:cstheme="minorHAnsi"/>
          <w:smallCaps/>
          <w:sz w:val="52"/>
          <w:szCs w:val="52"/>
        </w:rPr>
        <w:t xml:space="preserve">Europos Sąjungos Teisingumo Teismo </w:t>
      </w:r>
    </w:p>
    <w:p w14:paraId="4E55526A" w14:textId="77777777" w:rsidR="000028CD" w:rsidRPr="00AB500B" w:rsidRDefault="000028CD" w:rsidP="00AD0B10">
      <w:pPr>
        <w:pStyle w:val="NoSpacing1"/>
        <w:ind w:firstLine="0"/>
        <w:jc w:val="center"/>
        <w:rPr>
          <w:rFonts w:asciiTheme="minorHAnsi" w:hAnsiTheme="minorHAnsi" w:cstheme="minorHAnsi"/>
          <w:smallCaps/>
          <w:sz w:val="52"/>
          <w:szCs w:val="52"/>
        </w:rPr>
      </w:pPr>
      <w:r w:rsidRPr="00AB500B">
        <w:rPr>
          <w:rFonts w:asciiTheme="minorHAnsi" w:hAnsiTheme="minorHAnsi" w:cstheme="minorHAnsi"/>
          <w:smallCaps/>
          <w:sz w:val="52"/>
          <w:szCs w:val="52"/>
        </w:rPr>
        <w:t>praktikos apžvalga</w:t>
      </w:r>
    </w:p>
    <w:p w14:paraId="3A477DF5" w14:textId="0DBEE9F7" w:rsidR="000028CD" w:rsidRPr="00AB500B" w:rsidRDefault="0051438A" w:rsidP="0051438A">
      <w:pPr>
        <w:pStyle w:val="NoSpacing1"/>
        <w:tabs>
          <w:tab w:val="left" w:pos="1848"/>
          <w:tab w:val="center" w:pos="4819"/>
        </w:tabs>
        <w:ind w:firstLine="0"/>
        <w:rPr>
          <w:rFonts w:asciiTheme="minorHAnsi" w:hAnsiTheme="minorHAnsi" w:cstheme="minorHAnsi"/>
          <w:b/>
          <w:smallCaps/>
          <w:sz w:val="32"/>
          <w:szCs w:val="32"/>
          <w:u w:val="single"/>
        </w:rPr>
      </w:pPr>
      <w:r w:rsidRPr="0069032F">
        <w:rPr>
          <w:rFonts w:asciiTheme="minorHAnsi" w:hAnsiTheme="minorHAnsi" w:cstheme="minorHAnsi"/>
          <w:b/>
          <w:smallCaps/>
        </w:rPr>
        <w:tab/>
      </w:r>
      <w:r w:rsidRPr="0069032F">
        <w:rPr>
          <w:rFonts w:asciiTheme="minorHAnsi" w:hAnsiTheme="minorHAnsi" w:cstheme="minorHAnsi"/>
          <w:b/>
          <w:smallCaps/>
        </w:rPr>
        <w:tab/>
      </w:r>
      <w:r w:rsidR="00735B72" w:rsidRPr="00AB500B">
        <w:rPr>
          <w:rFonts w:asciiTheme="minorHAnsi" w:hAnsiTheme="minorHAnsi" w:cstheme="minorHAnsi"/>
          <w:b/>
          <w:smallCaps/>
          <w:sz w:val="32"/>
          <w:szCs w:val="32"/>
          <w:u w:val="single"/>
        </w:rPr>
        <w:t>20</w:t>
      </w:r>
      <w:r w:rsidR="005A7A21" w:rsidRPr="00AB500B">
        <w:rPr>
          <w:rFonts w:asciiTheme="minorHAnsi" w:hAnsiTheme="minorHAnsi" w:cstheme="minorHAnsi"/>
          <w:b/>
          <w:smallCaps/>
          <w:sz w:val="32"/>
          <w:szCs w:val="32"/>
          <w:u w:val="single"/>
        </w:rPr>
        <w:t>2</w:t>
      </w:r>
      <w:r w:rsidR="005F7B3D" w:rsidRPr="00AB500B">
        <w:rPr>
          <w:rFonts w:asciiTheme="minorHAnsi" w:hAnsiTheme="minorHAnsi" w:cstheme="minorHAnsi"/>
          <w:b/>
          <w:smallCaps/>
          <w:sz w:val="32"/>
          <w:szCs w:val="32"/>
          <w:u w:val="single"/>
        </w:rPr>
        <w:t>1</w:t>
      </w:r>
      <w:r w:rsidR="000028CD" w:rsidRPr="00AB500B">
        <w:rPr>
          <w:rFonts w:asciiTheme="minorHAnsi" w:hAnsiTheme="minorHAnsi" w:cstheme="minorHAnsi"/>
          <w:b/>
          <w:smallCaps/>
          <w:sz w:val="32"/>
          <w:szCs w:val="32"/>
          <w:u w:val="single"/>
        </w:rPr>
        <w:t xml:space="preserve"> m. </w:t>
      </w:r>
      <w:r w:rsidR="00127138" w:rsidRPr="00AB500B">
        <w:rPr>
          <w:rFonts w:asciiTheme="minorHAnsi" w:hAnsiTheme="minorHAnsi" w:cstheme="minorHAnsi"/>
          <w:b/>
          <w:smallCaps/>
          <w:sz w:val="32"/>
          <w:szCs w:val="32"/>
          <w:u w:val="single"/>
        </w:rPr>
        <w:t xml:space="preserve">liepos </w:t>
      </w:r>
      <w:r w:rsidR="00ED7C96" w:rsidRPr="00AB500B">
        <w:rPr>
          <w:rFonts w:asciiTheme="minorHAnsi" w:hAnsiTheme="minorHAnsi" w:cstheme="minorHAnsi"/>
          <w:b/>
          <w:smallCaps/>
          <w:sz w:val="32"/>
          <w:szCs w:val="32"/>
          <w:u w:val="single"/>
        </w:rPr>
        <w:t>1 d.–20</w:t>
      </w:r>
      <w:r w:rsidR="005A7A21" w:rsidRPr="00AB500B">
        <w:rPr>
          <w:rFonts w:asciiTheme="minorHAnsi" w:hAnsiTheme="minorHAnsi" w:cstheme="minorHAnsi"/>
          <w:b/>
          <w:smallCaps/>
          <w:sz w:val="32"/>
          <w:szCs w:val="32"/>
          <w:u w:val="single"/>
        </w:rPr>
        <w:t>2</w:t>
      </w:r>
      <w:r w:rsidR="005F7B3D" w:rsidRPr="00AB500B">
        <w:rPr>
          <w:rFonts w:asciiTheme="minorHAnsi" w:hAnsiTheme="minorHAnsi" w:cstheme="minorHAnsi"/>
          <w:b/>
          <w:smallCaps/>
          <w:sz w:val="32"/>
          <w:szCs w:val="32"/>
          <w:u w:val="single"/>
        </w:rPr>
        <w:t>1</w:t>
      </w:r>
      <w:r w:rsidR="000028CD" w:rsidRPr="00AB500B">
        <w:rPr>
          <w:rFonts w:asciiTheme="minorHAnsi" w:hAnsiTheme="minorHAnsi" w:cstheme="minorHAnsi"/>
          <w:b/>
          <w:smallCaps/>
          <w:sz w:val="32"/>
          <w:szCs w:val="32"/>
          <w:u w:val="single"/>
        </w:rPr>
        <w:t xml:space="preserve"> m. </w:t>
      </w:r>
      <w:r w:rsidR="00127138" w:rsidRPr="00AB500B">
        <w:rPr>
          <w:rFonts w:asciiTheme="minorHAnsi" w:hAnsiTheme="minorHAnsi" w:cstheme="minorHAnsi"/>
          <w:b/>
          <w:smallCaps/>
          <w:sz w:val="32"/>
          <w:szCs w:val="32"/>
          <w:u w:val="single"/>
        </w:rPr>
        <w:t xml:space="preserve">gruodžio </w:t>
      </w:r>
      <w:r w:rsidR="000028CD" w:rsidRPr="00AB500B">
        <w:rPr>
          <w:rFonts w:asciiTheme="minorHAnsi" w:hAnsiTheme="minorHAnsi" w:cstheme="minorHAnsi"/>
          <w:b/>
          <w:smallCaps/>
          <w:sz w:val="32"/>
          <w:szCs w:val="32"/>
          <w:u w:val="single"/>
        </w:rPr>
        <w:t>3</w:t>
      </w:r>
      <w:r w:rsidR="00127138" w:rsidRPr="00AB500B">
        <w:rPr>
          <w:rFonts w:asciiTheme="minorHAnsi" w:hAnsiTheme="minorHAnsi" w:cstheme="minorHAnsi"/>
          <w:b/>
          <w:smallCaps/>
          <w:sz w:val="32"/>
          <w:szCs w:val="32"/>
          <w:u w:val="single"/>
        </w:rPr>
        <w:t>1</w:t>
      </w:r>
      <w:r w:rsidR="000028CD" w:rsidRPr="00AB500B">
        <w:rPr>
          <w:rFonts w:asciiTheme="minorHAnsi" w:hAnsiTheme="minorHAnsi" w:cstheme="minorHAnsi"/>
          <w:b/>
          <w:smallCaps/>
          <w:sz w:val="32"/>
          <w:szCs w:val="32"/>
          <w:u w:val="single"/>
        </w:rPr>
        <w:t xml:space="preserve"> d.</w:t>
      </w:r>
    </w:p>
    <w:p w14:paraId="63B7E47D" w14:textId="77777777" w:rsidR="000028CD" w:rsidRPr="0069032F" w:rsidRDefault="000028CD" w:rsidP="00AD0B10">
      <w:pPr>
        <w:jc w:val="center"/>
        <w:rPr>
          <w:rFonts w:asciiTheme="minorHAnsi" w:hAnsiTheme="minorHAnsi" w:cstheme="minorHAnsi"/>
          <w:b/>
          <w:smallCaps/>
        </w:rPr>
      </w:pPr>
    </w:p>
    <w:p w14:paraId="20C56A00" w14:textId="77777777" w:rsidR="000028CD" w:rsidRPr="0069032F" w:rsidRDefault="000028CD" w:rsidP="00AD0B10">
      <w:pPr>
        <w:jc w:val="center"/>
        <w:rPr>
          <w:rFonts w:asciiTheme="minorHAnsi" w:hAnsiTheme="minorHAnsi" w:cstheme="minorHAnsi"/>
          <w:b/>
          <w:smallCaps/>
        </w:rPr>
      </w:pPr>
    </w:p>
    <w:p w14:paraId="50804CA1" w14:textId="77777777" w:rsidR="000028CD" w:rsidRPr="0069032F" w:rsidRDefault="000028CD" w:rsidP="00AD0B10">
      <w:pPr>
        <w:jc w:val="center"/>
        <w:rPr>
          <w:rFonts w:asciiTheme="minorHAnsi" w:hAnsiTheme="minorHAnsi" w:cstheme="minorHAnsi"/>
          <w:b/>
          <w:smallCaps/>
        </w:rPr>
      </w:pPr>
    </w:p>
    <w:p w14:paraId="65089307" w14:textId="77777777" w:rsidR="000028CD" w:rsidRPr="0069032F" w:rsidRDefault="000028CD" w:rsidP="00AD0B10">
      <w:pPr>
        <w:jc w:val="center"/>
        <w:rPr>
          <w:rFonts w:asciiTheme="minorHAnsi" w:hAnsiTheme="minorHAnsi" w:cstheme="minorHAnsi"/>
          <w:b/>
          <w:smallCaps/>
        </w:rPr>
      </w:pPr>
    </w:p>
    <w:p w14:paraId="443950E3" w14:textId="77777777" w:rsidR="000028CD" w:rsidRPr="0069032F" w:rsidRDefault="000028CD" w:rsidP="00AD0B10">
      <w:pPr>
        <w:jc w:val="center"/>
        <w:rPr>
          <w:rFonts w:asciiTheme="minorHAnsi" w:hAnsiTheme="minorHAnsi" w:cstheme="minorHAnsi"/>
          <w:b/>
          <w:smallCaps/>
        </w:rPr>
      </w:pPr>
    </w:p>
    <w:p w14:paraId="65E0EFA7" w14:textId="77777777" w:rsidR="000028CD" w:rsidRPr="0069032F" w:rsidRDefault="000028CD" w:rsidP="00AD0B10">
      <w:pPr>
        <w:jc w:val="center"/>
        <w:rPr>
          <w:rFonts w:asciiTheme="minorHAnsi" w:hAnsiTheme="minorHAnsi" w:cstheme="minorHAnsi"/>
          <w:b/>
          <w:smallCaps/>
        </w:rPr>
      </w:pPr>
    </w:p>
    <w:p w14:paraId="0156B5AF" w14:textId="77777777" w:rsidR="000028CD" w:rsidRPr="0069032F" w:rsidRDefault="000028CD" w:rsidP="00AD0B10">
      <w:pPr>
        <w:jc w:val="center"/>
        <w:rPr>
          <w:rFonts w:asciiTheme="minorHAnsi" w:hAnsiTheme="minorHAnsi" w:cstheme="minorHAnsi"/>
          <w:b/>
          <w:smallCaps/>
        </w:rPr>
      </w:pPr>
    </w:p>
    <w:p w14:paraId="7684B025" w14:textId="77777777" w:rsidR="000028CD" w:rsidRPr="0069032F" w:rsidRDefault="000028CD" w:rsidP="00AD0B10">
      <w:pPr>
        <w:jc w:val="center"/>
        <w:rPr>
          <w:rFonts w:asciiTheme="minorHAnsi" w:hAnsiTheme="minorHAnsi" w:cstheme="minorHAnsi"/>
          <w:b/>
          <w:smallCaps/>
        </w:rPr>
      </w:pPr>
    </w:p>
    <w:p w14:paraId="5B6676C6" w14:textId="77777777" w:rsidR="000028CD" w:rsidRPr="0069032F" w:rsidRDefault="000028CD" w:rsidP="00AD0B10">
      <w:pPr>
        <w:jc w:val="center"/>
        <w:rPr>
          <w:rFonts w:asciiTheme="minorHAnsi" w:hAnsiTheme="minorHAnsi" w:cstheme="minorHAnsi"/>
          <w:b/>
          <w:smallCaps/>
        </w:rPr>
      </w:pPr>
    </w:p>
    <w:p w14:paraId="04E76E90" w14:textId="77777777" w:rsidR="000028CD" w:rsidRPr="0069032F" w:rsidRDefault="000028CD" w:rsidP="00AD0B10">
      <w:pPr>
        <w:jc w:val="center"/>
        <w:rPr>
          <w:rFonts w:asciiTheme="minorHAnsi" w:hAnsiTheme="minorHAnsi" w:cstheme="minorHAnsi"/>
          <w:b/>
          <w:smallCaps/>
        </w:rPr>
      </w:pPr>
    </w:p>
    <w:p w14:paraId="54C0E3CE" w14:textId="77777777" w:rsidR="000028CD" w:rsidRPr="0069032F" w:rsidRDefault="000028CD" w:rsidP="00AD0B10">
      <w:pPr>
        <w:jc w:val="center"/>
        <w:rPr>
          <w:rFonts w:asciiTheme="minorHAnsi" w:hAnsiTheme="minorHAnsi" w:cstheme="minorHAnsi"/>
          <w:b/>
          <w:smallCaps/>
        </w:rPr>
      </w:pPr>
    </w:p>
    <w:p w14:paraId="06F033A6" w14:textId="77777777" w:rsidR="000028CD" w:rsidRPr="0069032F" w:rsidRDefault="000028CD" w:rsidP="00AD0B10">
      <w:pPr>
        <w:jc w:val="center"/>
        <w:rPr>
          <w:rFonts w:asciiTheme="minorHAnsi" w:hAnsiTheme="minorHAnsi" w:cstheme="minorHAnsi"/>
          <w:b/>
          <w:smallCaps/>
        </w:rPr>
      </w:pPr>
    </w:p>
    <w:p w14:paraId="47FA2AAA" w14:textId="77777777" w:rsidR="000028CD" w:rsidRPr="0069032F" w:rsidRDefault="000028CD" w:rsidP="00AD0B10">
      <w:pPr>
        <w:jc w:val="center"/>
        <w:rPr>
          <w:rFonts w:asciiTheme="minorHAnsi" w:hAnsiTheme="minorHAnsi" w:cstheme="minorHAnsi"/>
          <w:b/>
          <w:smallCaps/>
        </w:rPr>
      </w:pPr>
    </w:p>
    <w:p w14:paraId="6343A0E9" w14:textId="77777777" w:rsidR="000028CD" w:rsidRPr="00AB500B" w:rsidRDefault="000028CD" w:rsidP="00AD0B10">
      <w:pPr>
        <w:jc w:val="center"/>
        <w:rPr>
          <w:rFonts w:asciiTheme="minorHAnsi" w:hAnsiTheme="minorHAnsi" w:cstheme="minorHAnsi"/>
          <w:b/>
          <w:smallCaps/>
          <w:sz w:val="28"/>
          <w:szCs w:val="28"/>
        </w:rPr>
      </w:pPr>
      <w:r w:rsidRPr="00AB500B">
        <w:rPr>
          <w:rFonts w:asciiTheme="minorHAnsi" w:hAnsiTheme="minorHAnsi" w:cstheme="minorHAnsi"/>
          <w:b/>
          <w:smallCaps/>
          <w:sz w:val="28"/>
          <w:szCs w:val="28"/>
        </w:rPr>
        <w:t xml:space="preserve">Apžvalgą parengė </w:t>
      </w:r>
    </w:p>
    <w:p w14:paraId="3480ECBA" w14:textId="77777777" w:rsidR="000028CD" w:rsidRPr="00AB500B" w:rsidRDefault="000028CD" w:rsidP="00AD0B10">
      <w:pPr>
        <w:jc w:val="center"/>
        <w:rPr>
          <w:rFonts w:asciiTheme="minorHAnsi" w:hAnsiTheme="minorHAnsi" w:cstheme="minorHAnsi"/>
          <w:b/>
          <w:smallCaps/>
          <w:sz w:val="28"/>
          <w:szCs w:val="28"/>
        </w:rPr>
      </w:pPr>
      <w:r w:rsidRPr="00AB500B">
        <w:rPr>
          <w:rFonts w:asciiTheme="minorHAnsi" w:hAnsiTheme="minorHAnsi" w:cstheme="minorHAnsi"/>
          <w:b/>
          <w:smallCaps/>
          <w:sz w:val="28"/>
          <w:szCs w:val="28"/>
        </w:rPr>
        <w:t xml:space="preserve">Lietuvos vyriausiojo administracinio teismo </w:t>
      </w:r>
    </w:p>
    <w:p w14:paraId="51066C7E" w14:textId="77777777" w:rsidR="000028CD" w:rsidRPr="0069032F" w:rsidRDefault="000028CD" w:rsidP="00AD0B10">
      <w:pPr>
        <w:jc w:val="center"/>
        <w:rPr>
          <w:rFonts w:asciiTheme="minorHAnsi" w:hAnsiTheme="minorHAnsi" w:cstheme="minorHAnsi"/>
          <w:b/>
          <w:color w:val="000000"/>
        </w:rPr>
      </w:pPr>
      <w:r w:rsidRPr="00AB500B">
        <w:rPr>
          <w:rFonts w:asciiTheme="minorHAnsi" w:hAnsiTheme="minorHAnsi" w:cstheme="minorHAnsi"/>
          <w:b/>
          <w:smallCaps/>
          <w:sz w:val="28"/>
          <w:szCs w:val="28"/>
        </w:rPr>
        <w:t>Teismų praktikos departamentas</w:t>
      </w:r>
      <w:r w:rsidRPr="0069032F">
        <w:rPr>
          <w:rFonts w:asciiTheme="minorHAnsi" w:hAnsiTheme="minorHAnsi" w:cstheme="minorHAnsi"/>
          <w:b/>
          <w:smallCaps/>
        </w:rPr>
        <w:t xml:space="preserve"> </w:t>
      </w:r>
      <w:r w:rsidRPr="0069032F">
        <w:rPr>
          <w:rFonts w:asciiTheme="minorHAnsi" w:hAnsiTheme="minorHAnsi" w:cstheme="minorHAnsi"/>
          <w:b/>
          <w:color w:val="000000"/>
        </w:rPr>
        <w:br w:type="page"/>
      </w:r>
    </w:p>
    <w:p w14:paraId="7E7CFE34" w14:textId="77777777" w:rsidR="000028CD" w:rsidRPr="0069032F" w:rsidRDefault="000028CD" w:rsidP="00AD0B10">
      <w:pPr>
        <w:jc w:val="center"/>
        <w:rPr>
          <w:rFonts w:asciiTheme="minorHAnsi" w:hAnsiTheme="minorHAnsi" w:cstheme="minorHAnsi"/>
          <w:b/>
          <w:color w:val="323E4F" w:themeColor="text2" w:themeShade="BF"/>
        </w:rPr>
      </w:pPr>
      <w:r w:rsidRPr="0069032F">
        <w:rPr>
          <w:rFonts w:asciiTheme="minorHAnsi" w:hAnsiTheme="minorHAnsi" w:cstheme="minorHAnsi"/>
          <w:b/>
          <w:color w:val="323E4F" w:themeColor="text2" w:themeShade="BF"/>
        </w:rPr>
        <w:lastRenderedPageBreak/>
        <w:t>EUROPOS SĄJUNGOS TEISINGUMO TEISMO PRAKTIKOS APŽVALGA</w:t>
      </w:r>
    </w:p>
    <w:p w14:paraId="1C310854" w14:textId="04F499E3" w:rsidR="000028CD" w:rsidRPr="0069032F" w:rsidRDefault="0092562B" w:rsidP="00AD0B10">
      <w:pPr>
        <w:jc w:val="center"/>
        <w:rPr>
          <w:rFonts w:asciiTheme="minorHAnsi" w:hAnsiTheme="minorHAnsi" w:cstheme="minorHAnsi"/>
          <w:color w:val="323E4F" w:themeColor="text2" w:themeShade="BF"/>
        </w:rPr>
      </w:pPr>
      <w:r w:rsidRPr="0069032F">
        <w:rPr>
          <w:rFonts w:asciiTheme="minorHAnsi" w:hAnsiTheme="minorHAnsi" w:cstheme="minorHAnsi"/>
          <w:color w:val="323E4F" w:themeColor="text2" w:themeShade="BF"/>
        </w:rPr>
        <w:t>(202</w:t>
      </w:r>
      <w:r w:rsidR="00E67F06" w:rsidRPr="0069032F">
        <w:rPr>
          <w:rFonts w:asciiTheme="minorHAnsi" w:hAnsiTheme="minorHAnsi" w:cstheme="minorHAnsi"/>
          <w:color w:val="323E4F" w:themeColor="text2" w:themeShade="BF"/>
        </w:rPr>
        <w:t>1</w:t>
      </w:r>
      <w:r w:rsidR="000028CD" w:rsidRPr="0069032F">
        <w:rPr>
          <w:rFonts w:asciiTheme="minorHAnsi" w:hAnsiTheme="minorHAnsi" w:cstheme="minorHAnsi"/>
          <w:color w:val="323E4F" w:themeColor="text2" w:themeShade="BF"/>
        </w:rPr>
        <w:t xml:space="preserve"> m. </w:t>
      </w:r>
      <w:r w:rsidR="00F66F5E">
        <w:rPr>
          <w:rFonts w:asciiTheme="minorHAnsi" w:hAnsiTheme="minorHAnsi" w:cstheme="minorHAnsi"/>
          <w:color w:val="323E4F" w:themeColor="text2" w:themeShade="BF"/>
        </w:rPr>
        <w:t xml:space="preserve">liepos 1 </w:t>
      </w:r>
      <w:r w:rsidR="00735B72" w:rsidRPr="0069032F">
        <w:rPr>
          <w:rFonts w:asciiTheme="minorHAnsi" w:hAnsiTheme="minorHAnsi" w:cstheme="minorHAnsi"/>
          <w:color w:val="323E4F" w:themeColor="text2" w:themeShade="BF"/>
        </w:rPr>
        <w:t>d.–20</w:t>
      </w:r>
      <w:r w:rsidRPr="0069032F">
        <w:rPr>
          <w:rFonts w:asciiTheme="minorHAnsi" w:hAnsiTheme="minorHAnsi" w:cstheme="minorHAnsi"/>
          <w:color w:val="323E4F" w:themeColor="text2" w:themeShade="BF"/>
        </w:rPr>
        <w:t>2</w:t>
      </w:r>
      <w:r w:rsidR="00E67F06" w:rsidRPr="0069032F">
        <w:rPr>
          <w:rFonts w:asciiTheme="minorHAnsi" w:hAnsiTheme="minorHAnsi" w:cstheme="minorHAnsi"/>
          <w:color w:val="323E4F" w:themeColor="text2" w:themeShade="BF"/>
        </w:rPr>
        <w:t>1</w:t>
      </w:r>
      <w:r w:rsidR="000028CD" w:rsidRPr="0069032F">
        <w:rPr>
          <w:rFonts w:asciiTheme="minorHAnsi" w:hAnsiTheme="minorHAnsi" w:cstheme="minorHAnsi"/>
          <w:color w:val="323E4F" w:themeColor="text2" w:themeShade="BF"/>
        </w:rPr>
        <w:t xml:space="preserve"> m. </w:t>
      </w:r>
      <w:r w:rsidR="00F66F5E">
        <w:rPr>
          <w:rFonts w:asciiTheme="minorHAnsi" w:hAnsiTheme="minorHAnsi" w:cstheme="minorHAnsi"/>
          <w:color w:val="323E4F" w:themeColor="text2" w:themeShade="BF"/>
        </w:rPr>
        <w:t>gruodžio 31</w:t>
      </w:r>
      <w:r w:rsidR="000028CD" w:rsidRPr="0069032F">
        <w:rPr>
          <w:rFonts w:asciiTheme="minorHAnsi" w:hAnsiTheme="minorHAnsi" w:cstheme="minorHAnsi"/>
          <w:color w:val="323E4F" w:themeColor="text2" w:themeShade="BF"/>
        </w:rPr>
        <w:t xml:space="preserve"> d.)</w:t>
      </w:r>
    </w:p>
    <w:p w14:paraId="585ED213" w14:textId="216C2073" w:rsidR="000028CD" w:rsidRPr="0069032F" w:rsidRDefault="000028CD" w:rsidP="00126D28">
      <w:pPr>
        <w:pStyle w:val="Turinioantrat"/>
        <w:spacing w:line="240" w:lineRule="auto"/>
        <w:rPr>
          <w:szCs w:val="22"/>
        </w:rPr>
      </w:pPr>
    </w:p>
    <w:sdt>
      <w:sdtPr>
        <w:rPr>
          <w:rFonts w:ascii="Calibri" w:eastAsia="Calibri" w:hAnsi="Calibri" w:cs="Times New Roman"/>
          <w:b w:val="0"/>
          <w:color w:val="auto"/>
          <w:szCs w:val="22"/>
          <w:lang w:eastAsia="en-US"/>
        </w:rPr>
        <w:id w:val="964318455"/>
        <w:docPartObj>
          <w:docPartGallery w:val="Table of Contents"/>
          <w:docPartUnique/>
        </w:docPartObj>
      </w:sdtPr>
      <w:sdtEndPr>
        <w:rPr>
          <w:bCs/>
        </w:rPr>
      </w:sdtEndPr>
      <w:sdtContent>
        <w:p w14:paraId="08B58E2A" w14:textId="5139FF7F" w:rsidR="00126D28" w:rsidRPr="0069032F" w:rsidRDefault="00126D28">
          <w:pPr>
            <w:pStyle w:val="Turinioantrat"/>
            <w:rPr>
              <w:szCs w:val="22"/>
            </w:rPr>
          </w:pPr>
        </w:p>
        <w:p w14:paraId="051C448A" w14:textId="5CABFA44" w:rsidR="009749B8" w:rsidRDefault="006C6208">
          <w:pPr>
            <w:pStyle w:val="Turinys1"/>
            <w:rPr>
              <w:rFonts w:asciiTheme="minorHAnsi" w:eastAsiaTheme="minorEastAsia" w:hAnsiTheme="minorHAnsi" w:cstheme="minorBidi"/>
              <w:b w:val="0"/>
              <w:bCs w:val="0"/>
              <w:iCs w:val="0"/>
              <w:color w:val="auto"/>
              <w:kern w:val="0"/>
              <w:sz w:val="22"/>
              <w:lang w:val="en-US" w:eastAsia="en-US"/>
            </w:rPr>
          </w:pPr>
          <w:r w:rsidRPr="0069032F">
            <w:rPr>
              <w:rFonts w:asciiTheme="minorHAnsi" w:hAnsiTheme="minorHAnsi"/>
              <w:sz w:val="22"/>
            </w:rPr>
            <w:fldChar w:fldCharType="begin"/>
          </w:r>
          <w:r w:rsidRPr="0069032F">
            <w:rPr>
              <w:rFonts w:asciiTheme="minorHAnsi" w:hAnsiTheme="minorHAnsi"/>
              <w:sz w:val="22"/>
            </w:rPr>
            <w:instrText xml:space="preserve"> TOC \o "1-3" </w:instrText>
          </w:r>
          <w:r w:rsidRPr="0069032F">
            <w:rPr>
              <w:rFonts w:asciiTheme="minorHAnsi" w:hAnsiTheme="minorHAnsi"/>
              <w:sz w:val="22"/>
            </w:rPr>
            <w:fldChar w:fldCharType="separate"/>
          </w:r>
          <w:r w:rsidR="009749B8">
            <w:t>APMOKESTINIMAS</w:t>
          </w:r>
          <w:r w:rsidR="009749B8">
            <w:tab/>
          </w:r>
          <w:r w:rsidR="009749B8">
            <w:fldChar w:fldCharType="begin"/>
          </w:r>
          <w:r w:rsidR="009749B8">
            <w:instrText xml:space="preserve"> PAGEREF _Toc105161217 \h </w:instrText>
          </w:r>
          <w:r w:rsidR="009749B8">
            <w:fldChar w:fldCharType="separate"/>
          </w:r>
          <w:r w:rsidR="009749B8">
            <w:t>5</w:t>
          </w:r>
          <w:r w:rsidR="009749B8">
            <w:fldChar w:fldCharType="end"/>
          </w:r>
        </w:p>
        <w:p w14:paraId="287E250C" w14:textId="319E5621"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liepos 1 d. sprendimas byloje </w:t>
          </w:r>
          <w:r w:rsidRPr="001155A8">
            <w:rPr>
              <w:i/>
            </w:rPr>
            <w:t>Tribunal Económico Administrativo Regional de Galicia</w:t>
          </w:r>
          <w:r>
            <w:t>, C</w:t>
          </w:r>
          <w:r w:rsidRPr="001155A8">
            <w:rPr>
              <w:rFonts w:ascii="Cambria Math" w:hAnsi="Cambria Math" w:cs="Cambria Math"/>
            </w:rPr>
            <w:t>‑</w:t>
          </w:r>
          <w:r>
            <w:t>521/19</w:t>
          </w:r>
          <w:r>
            <w:tab/>
          </w:r>
          <w:r>
            <w:fldChar w:fldCharType="begin"/>
          </w:r>
          <w:r>
            <w:instrText xml:space="preserve"> PAGEREF _Toc105161218 \h </w:instrText>
          </w:r>
          <w:r>
            <w:fldChar w:fldCharType="separate"/>
          </w:r>
          <w:r>
            <w:t>5</w:t>
          </w:r>
          <w:r>
            <w:fldChar w:fldCharType="end"/>
          </w:r>
        </w:p>
        <w:p w14:paraId="0A5FF8B5" w14:textId="012020D3"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apmokestinamosios vertės, kai apmokestinamasis asmuo už suteiktas apmokestinamąsias paslaugas neišrašė sąskaitos faktūros ir sukčiaudamas nuslėpė pajamas nuo mokesčių administratoriaus</w:t>
          </w:r>
          <w:r>
            <w:tab/>
          </w:r>
          <w:r>
            <w:fldChar w:fldCharType="begin"/>
          </w:r>
          <w:r>
            <w:instrText xml:space="preserve"> PAGEREF _Toc105161219 \h </w:instrText>
          </w:r>
          <w:r>
            <w:fldChar w:fldCharType="separate"/>
          </w:r>
          <w:r>
            <w:t>5</w:t>
          </w:r>
          <w:r>
            <w:fldChar w:fldCharType="end"/>
          </w:r>
        </w:p>
        <w:p w14:paraId="1ED4E5D6" w14:textId="2F793EB1"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spalio 21 d. sprendimas byloje </w:t>
          </w:r>
          <w:r w:rsidRPr="001155A8">
            <w:rPr>
              <w:i/>
            </w:rPr>
            <w:t>CHEP Equipment Pooling</w:t>
          </w:r>
          <w:r>
            <w:t>, C</w:t>
          </w:r>
          <w:r w:rsidRPr="001155A8">
            <w:rPr>
              <w:rFonts w:ascii="Cambria Math" w:hAnsi="Cambria Math" w:cs="Cambria Math"/>
            </w:rPr>
            <w:t>‑</w:t>
          </w:r>
          <w:r>
            <w:t>396/20</w:t>
          </w:r>
          <w:r>
            <w:tab/>
          </w:r>
          <w:r>
            <w:fldChar w:fldCharType="begin"/>
          </w:r>
          <w:r>
            <w:instrText xml:space="preserve"> PAGEREF _Toc105161220 \h </w:instrText>
          </w:r>
          <w:r>
            <w:fldChar w:fldCharType="separate"/>
          </w:r>
          <w:r>
            <w:t>5</w:t>
          </w:r>
          <w:r>
            <w:fldChar w:fldCharType="end"/>
          </w:r>
        </w:p>
        <w:p w14:paraId="6882116A" w14:textId="179DAF11"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mokesčių administratoriaus pareigos pasiūlyti patikslinti prašymą, kai prašoma grąžinti pirkimo PVM suma yra mažesnė nei nurodyta PVM sąskaitoje faktūroje</w:t>
          </w:r>
          <w:r>
            <w:tab/>
          </w:r>
          <w:r>
            <w:fldChar w:fldCharType="begin"/>
          </w:r>
          <w:r>
            <w:instrText xml:space="preserve"> PAGEREF _Toc105161221 \h </w:instrText>
          </w:r>
          <w:r>
            <w:fldChar w:fldCharType="separate"/>
          </w:r>
          <w:r>
            <w:t>6</w:t>
          </w:r>
          <w:r>
            <w:fldChar w:fldCharType="end"/>
          </w:r>
        </w:p>
        <w:p w14:paraId="60E30512" w14:textId="22B06B8F"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lapkričio 11 d. sprendimas byloje </w:t>
          </w:r>
          <w:r w:rsidRPr="001155A8">
            <w:rPr>
              <w:i/>
            </w:rPr>
            <w:t>Ferimet</w:t>
          </w:r>
          <w:r>
            <w:t>, C</w:t>
          </w:r>
          <w:r w:rsidRPr="001155A8">
            <w:rPr>
              <w:rFonts w:ascii="Cambria Math" w:hAnsi="Cambria Math" w:cs="Cambria Math"/>
            </w:rPr>
            <w:t>‑</w:t>
          </w:r>
          <w:r>
            <w:t>281/20</w:t>
          </w:r>
          <w:r>
            <w:tab/>
          </w:r>
          <w:r>
            <w:fldChar w:fldCharType="begin"/>
          </w:r>
          <w:r>
            <w:instrText xml:space="preserve"> PAGEREF _Toc105161222 \h </w:instrText>
          </w:r>
          <w:r>
            <w:fldChar w:fldCharType="separate"/>
          </w:r>
          <w:r>
            <w:t>7</w:t>
          </w:r>
          <w:r>
            <w:fldChar w:fldCharType="end"/>
          </w:r>
        </w:p>
        <w:p w14:paraId="00465D28" w14:textId="2758EF3A"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teisės į PVM atskaitą, kai taikant atvirkštinio apmokestinimo schemą (t. y. kai iš esmės nėra valstybės pajamų praradimo rizikos) PVM sąskaitą faktūrą išrašęs apmokestinamasis asmuo sąmoningai nurodė fiktyvų prekių tiekėją</w:t>
          </w:r>
          <w:r>
            <w:tab/>
          </w:r>
          <w:r>
            <w:fldChar w:fldCharType="begin"/>
          </w:r>
          <w:r>
            <w:instrText xml:space="preserve"> PAGEREF _Toc105161223 \h </w:instrText>
          </w:r>
          <w:r>
            <w:fldChar w:fldCharType="separate"/>
          </w:r>
          <w:r>
            <w:t>7</w:t>
          </w:r>
          <w:r>
            <w:fldChar w:fldCharType="end"/>
          </w:r>
        </w:p>
        <w:p w14:paraId="2670844D" w14:textId="61864B95"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lapkričio 25 d. sprendimas byloje </w:t>
          </w:r>
          <w:r w:rsidRPr="001155A8">
            <w:rPr>
              <w:i/>
            </w:rPr>
            <w:t>Amper Metal</w:t>
          </w:r>
          <w:r>
            <w:t>, C</w:t>
          </w:r>
          <w:r w:rsidRPr="001155A8">
            <w:rPr>
              <w:rFonts w:ascii="Cambria Math" w:hAnsi="Cambria Math" w:cs="Cambria Math"/>
            </w:rPr>
            <w:t>‑</w:t>
          </w:r>
          <w:r>
            <w:t>334/20</w:t>
          </w:r>
          <w:r>
            <w:tab/>
          </w:r>
          <w:r>
            <w:fldChar w:fldCharType="begin"/>
          </w:r>
          <w:r>
            <w:instrText xml:space="preserve"> PAGEREF _Toc105161224 \h </w:instrText>
          </w:r>
          <w:r>
            <w:fldChar w:fldCharType="separate"/>
          </w:r>
          <w:r>
            <w:t>8</w:t>
          </w:r>
          <w:r>
            <w:fldChar w:fldCharType="end"/>
          </w:r>
        </w:p>
        <w:p w14:paraId="45903D5D" w14:textId="003C957F"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nepagrįstai didelės reklamos paslaugų kainos ir aplinkybės, kad šias paslaugas įsigijusio apmokestinamojo asmens apyvarta dėl jų (reklamos paslaugų) nepadidėjo reikšmės sprendžiant dėl teisės atskaityti už šias paslaugas sumokėtą pirkimo PVM</w:t>
          </w:r>
          <w:r>
            <w:tab/>
          </w:r>
          <w:r>
            <w:fldChar w:fldCharType="begin"/>
          </w:r>
          <w:r>
            <w:instrText xml:space="preserve"> PAGEREF _Toc105161225 \h </w:instrText>
          </w:r>
          <w:r>
            <w:fldChar w:fldCharType="separate"/>
          </w:r>
          <w:r>
            <w:t>8</w:t>
          </w:r>
          <w:r>
            <w:fldChar w:fldCharType="end"/>
          </w:r>
        </w:p>
        <w:p w14:paraId="498EF446" w14:textId="238176E4"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gruodžio 9 d. sprendimas byloje </w:t>
          </w:r>
          <w:r w:rsidRPr="001155A8">
            <w:rPr>
              <w:i/>
            </w:rPr>
            <w:t>Kemwater ProChemie</w:t>
          </w:r>
          <w:r>
            <w:t>, C</w:t>
          </w:r>
          <w:r w:rsidRPr="001155A8">
            <w:rPr>
              <w:rFonts w:ascii="Cambria Math" w:hAnsi="Cambria Math" w:cs="Cambria Math"/>
            </w:rPr>
            <w:t>‑</w:t>
          </w:r>
          <w:r>
            <w:t>154/20</w:t>
          </w:r>
          <w:r>
            <w:tab/>
          </w:r>
          <w:r>
            <w:fldChar w:fldCharType="begin"/>
          </w:r>
          <w:r>
            <w:instrText xml:space="preserve"> PAGEREF _Toc105161226 \h </w:instrText>
          </w:r>
          <w:r>
            <w:fldChar w:fldCharType="separate"/>
          </w:r>
          <w:r>
            <w:t>9</w:t>
          </w:r>
          <w:r>
            <w:fldChar w:fldCharType="end"/>
          </w:r>
        </w:p>
        <w:p w14:paraId="0C3DF2F5" w14:textId="6EDDD6DE"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mokesčių administratoriaus pareigos įrodinėti apmokestinamojo asmens, siekiančio pasinaudoti teise į PVM atskaitą, sukčiavimo ir (ar) nesąžiningumo aspektus, kai prekes patiekė ir paslaugas suteikė ne sąskaitoje faktūroje nurodytas asmuo (prekių tiekėjas ar paslaugų teikėjas)</w:t>
          </w:r>
          <w:r>
            <w:tab/>
          </w:r>
          <w:r>
            <w:fldChar w:fldCharType="begin"/>
          </w:r>
          <w:r>
            <w:instrText xml:space="preserve"> PAGEREF _Toc105161227 \h </w:instrText>
          </w:r>
          <w:r>
            <w:fldChar w:fldCharType="separate"/>
          </w:r>
          <w:r>
            <w:t>10</w:t>
          </w:r>
          <w:r>
            <w:fldChar w:fldCharType="end"/>
          </w:r>
        </w:p>
        <w:p w14:paraId="3F9E4618" w14:textId="50FF667C"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ĮSISTEIGIMO LAISVĖ</w:t>
          </w:r>
          <w:r>
            <w:tab/>
          </w:r>
          <w:r>
            <w:fldChar w:fldCharType="begin"/>
          </w:r>
          <w:r>
            <w:instrText xml:space="preserve"> PAGEREF _Toc105161228 \h </w:instrText>
          </w:r>
          <w:r>
            <w:fldChar w:fldCharType="separate"/>
          </w:r>
          <w:r>
            <w:t>10</w:t>
          </w:r>
          <w:r>
            <w:fldChar w:fldCharType="end"/>
          </w:r>
        </w:p>
        <w:p w14:paraId="35F3DD30" w14:textId="73ED3232"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liepos 15 d. sprendimas byloje </w:t>
          </w:r>
          <w:r w:rsidRPr="001155A8">
            <w:rPr>
              <w:i/>
            </w:rPr>
            <w:t>BEMH ir Conseil national des centres commerciaux</w:t>
          </w:r>
          <w:r>
            <w:t>, C-325/20</w:t>
          </w:r>
          <w:r>
            <w:tab/>
          </w:r>
          <w:r>
            <w:fldChar w:fldCharType="begin"/>
          </w:r>
          <w:r>
            <w:instrText xml:space="preserve"> PAGEREF _Toc105161229 \h </w:instrText>
          </w:r>
          <w:r>
            <w:fldChar w:fldCharType="separate"/>
          </w:r>
          <w:r>
            <w:t>10</w:t>
          </w:r>
          <w:r>
            <w:fldChar w:fldCharType="end"/>
          </w:r>
        </w:p>
        <w:p w14:paraId="67794570" w14:textId="387F26CC"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kolegialaus organo, turinčio kompetenciją teikti nuomonę dėl leidimo vykdyti komercinę veiklą išdavimo</w:t>
          </w:r>
          <w:r>
            <w:tab/>
          </w:r>
          <w:r>
            <w:fldChar w:fldCharType="begin"/>
          </w:r>
          <w:r>
            <w:instrText xml:space="preserve"> PAGEREF _Toc105161230 \h </w:instrText>
          </w:r>
          <w:r>
            <w:fldChar w:fldCharType="separate"/>
          </w:r>
          <w:r>
            <w:t>11</w:t>
          </w:r>
          <w:r>
            <w:fldChar w:fldCharType="end"/>
          </w:r>
        </w:p>
        <w:p w14:paraId="3269D313" w14:textId="04623BDB"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LAISVAS ASMENŲ IR PASLAUGŲ JUDĖJIMAS</w:t>
          </w:r>
          <w:r>
            <w:tab/>
          </w:r>
          <w:r>
            <w:fldChar w:fldCharType="begin"/>
          </w:r>
          <w:r>
            <w:instrText xml:space="preserve"> PAGEREF _Toc105161231 \h </w:instrText>
          </w:r>
          <w:r>
            <w:fldChar w:fldCharType="separate"/>
          </w:r>
          <w:r>
            <w:t>12</w:t>
          </w:r>
          <w:r>
            <w:fldChar w:fldCharType="end"/>
          </w:r>
        </w:p>
        <w:p w14:paraId="20D33D45" w14:textId="74CD7DDE"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liepos 8 d. sprendimas byloje </w:t>
          </w:r>
          <w:r w:rsidRPr="001155A8">
            <w:rPr>
              <w:i/>
            </w:rPr>
            <w:t>Lietuvos Respublikos sveikatos apsaugos ministerija</w:t>
          </w:r>
          <w:r>
            <w:t>, C</w:t>
          </w:r>
          <w:r>
            <w:noBreakHyphen/>
            <w:t>166/20</w:t>
          </w:r>
          <w:r>
            <w:tab/>
          </w:r>
          <w:r>
            <w:fldChar w:fldCharType="begin"/>
          </w:r>
          <w:r>
            <w:instrText xml:space="preserve"> PAGEREF _Toc105161232 \h </w:instrText>
          </w:r>
          <w:r>
            <w:fldChar w:fldCharType="separate"/>
          </w:r>
          <w:r>
            <w:t>12</w:t>
          </w:r>
          <w:r>
            <w:fldChar w:fldCharType="end"/>
          </w:r>
        </w:p>
        <w:p w14:paraId="62E250D6" w14:textId="12C4E6AC"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priimančiosios valstybės narės pareigos įvertinti kilmės valstybėje narėje ir priimančiojoje valstybėje narėje įgytą profesinę kompetenciją ir ją palyginti su ta, kurios reikalaujama priimančiojoje valstybėje narėje tam, kad būtų galima verstis vaistininko profesine veikla</w:t>
          </w:r>
          <w:r>
            <w:tab/>
          </w:r>
          <w:r>
            <w:fldChar w:fldCharType="begin"/>
          </w:r>
          <w:r>
            <w:instrText xml:space="preserve"> PAGEREF _Toc105161233 \h </w:instrText>
          </w:r>
          <w:r>
            <w:fldChar w:fldCharType="separate"/>
          </w:r>
          <w:r>
            <w:t>13</w:t>
          </w:r>
          <w:r>
            <w:fldChar w:fldCharType="end"/>
          </w:r>
        </w:p>
        <w:p w14:paraId="1F441A9B" w14:textId="524E2C2E"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PILIETYBĖ</w:t>
          </w:r>
          <w:r>
            <w:tab/>
          </w:r>
          <w:r>
            <w:fldChar w:fldCharType="begin"/>
          </w:r>
          <w:r>
            <w:instrText xml:space="preserve"> PAGEREF _Toc105161234 \h </w:instrText>
          </w:r>
          <w:r>
            <w:fldChar w:fldCharType="separate"/>
          </w:r>
          <w:r>
            <w:t>13</w:t>
          </w:r>
          <w:r>
            <w:fldChar w:fldCharType="end"/>
          </w:r>
        </w:p>
        <w:p w14:paraId="12BD5F43" w14:textId="453CC750"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Didžiosios kolegijos 2021 m. gruodžio 14 d. sprendimas byloje </w:t>
          </w:r>
          <w:r w:rsidRPr="001155A8">
            <w:rPr>
              <w:i/>
            </w:rPr>
            <w:t>V.М.А.</w:t>
          </w:r>
          <w:r>
            <w:t>, C</w:t>
          </w:r>
          <w:r w:rsidRPr="001155A8">
            <w:rPr>
              <w:rFonts w:ascii="Cambria Math" w:hAnsi="Cambria Math" w:cs="Cambria Math"/>
            </w:rPr>
            <w:t>‑</w:t>
          </w:r>
          <w:r>
            <w:t>490/20</w:t>
          </w:r>
          <w:r>
            <w:tab/>
          </w:r>
          <w:r>
            <w:fldChar w:fldCharType="begin"/>
          </w:r>
          <w:r>
            <w:instrText xml:space="preserve"> PAGEREF _Toc105161235 \h </w:instrText>
          </w:r>
          <w:r>
            <w:fldChar w:fldCharType="separate"/>
          </w:r>
          <w:r>
            <w:t>13</w:t>
          </w:r>
          <w:r>
            <w:fldChar w:fldCharType="end"/>
          </w:r>
        </w:p>
        <w:p w14:paraId="05FC549A" w14:textId="16CEACE2"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valstybės narės pareigos išduoti asmens tapatybės kortelę arba pasą nepilnamečiui jos piliečiui nereikalaujant, kad jos valdžios institucijos prieš tai parengtų gimimo liudijimą, bei pripažinti priimančiosios valstybės narės išduotą dokumentą, suteikiantį tokiam nepilnamečiui teisę laisvai judėti ir apsigyventi valstybių narių teritorijoje su kiekvienu iš tėvų, kuriais yra tos pačios lyties asmenys</w:t>
          </w:r>
          <w:r>
            <w:tab/>
          </w:r>
          <w:r>
            <w:fldChar w:fldCharType="begin"/>
          </w:r>
          <w:r>
            <w:instrText xml:space="preserve"> PAGEREF _Toc105161236 \h </w:instrText>
          </w:r>
          <w:r>
            <w:fldChar w:fldCharType="separate"/>
          </w:r>
          <w:r>
            <w:t>14</w:t>
          </w:r>
          <w:r>
            <w:fldChar w:fldCharType="end"/>
          </w:r>
        </w:p>
        <w:p w14:paraId="3C464175" w14:textId="0D7A9E28"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LAISVAS KAPITALO JUDĖJIMAS</w:t>
          </w:r>
          <w:r>
            <w:tab/>
          </w:r>
          <w:r>
            <w:fldChar w:fldCharType="begin"/>
          </w:r>
          <w:r>
            <w:instrText xml:space="preserve"> PAGEREF _Toc105161237 \h </w:instrText>
          </w:r>
          <w:r>
            <w:fldChar w:fldCharType="separate"/>
          </w:r>
          <w:r>
            <w:t>15</w:t>
          </w:r>
          <w:r>
            <w:fldChar w:fldCharType="end"/>
          </w:r>
        </w:p>
        <w:p w14:paraId="6E49F11B" w14:textId="63513FCC"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gruodžio 16 d. sprendimas byloje </w:t>
          </w:r>
          <w:r w:rsidRPr="001155A8">
            <w:rPr>
              <w:i/>
            </w:rPr>
            <w:t>Prefettura di Massa Carrara</w:t>
          </w:r>
          <w:r>
            <w:t>, C</w:t>
          </w:r>
          <w:r w:rsidRPr="001155A8">
            <w:rPr>
              <w:rFonts w:ascii="Cambria Math" w:hAnsi="Cambria Math" w:cs="Cambria Math"/>
            </w:rPr>
            <w:t>‑</w:t>
          </w:r>
          <w:r>
            <w:t>274/20</w:t>
          </w:r>
          <w:r>
            <w:tab/>
          </w:r>
          <w:r>
            <w:fldChar w:fldCharType="begin"/>
          </w:r>
          <w:r>
            <w:instrText xml:space="preserve"> PAGEREF _Toc105161238 \h </w:instrText>
          </w:r>
          <w:r>
            <w:fldChar w:fldCharType="separate"/>
          </w:r>
          <w:r>
            <w:t>15</w:t>
          </w:r>
          <w:r>
            <w:fldChar w:fldCharType="end"/>
          </w:r>
        </w:p>
        <w:p w14:paraId="25B37D37" w14:textId="47C22058"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nacionalinės teisės akto nuostatos, draudžiančios ilgiau nei 60 dienų toje valstybėje narėje gyvenantiems asmenims vairuoti užsienyje registruotą transporto priemonę</w:t>
          </w:r>
          <w:r>
            <w:tab/>
          </w:r>
          <w:r>
            <w:fldChar w:fldCharType="begin"/>
          </w:r>
          <w:r>
            <w:instrText xml:space="preserve"> PAGEREF _Toc105161239 \h </w:instrText>
          </w:r>
          <w:r>
            <w:fldChar w:fldCharType="separate"/>
          </w:r>
          <w:r>
            <w:t>15</w:t>
          </w:r>
          <w:r>
            <w:fldChar w:fldCharType="end"/>
          </w:r>
        </w:p>
        <w:p w14:paraId="71D769BD" w14:textId="7772BCDC"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SOCIALINĖ APSAUGA</w:t>
          </w:r>
          <w:r>
            <w:tab/>
          </w:r>
          <w:r>
            <w:fldChar w:fldCharType="begin"/>
          </w:r>
          <w:r>
            <w:instrText xml:space="preserve"> PAGEREF _Toc105161240 \h </w:instrText>
          </w:r>
          <w:r>
            <w:fldChar w:fldCharType="separate"/>
          </w:r>
          <w:r>
            <w:t>16</w:t>
          </w:r>
          <w:r>
            <w:fldChar w:fldCharType="end"/>
          </w:r>
        </w:p>
        <w:p w14:paraId="700071CA" w14:textId="4B256AE9"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rugsėjo 30 d. sprendimas byloje </w:t>
          </w:r>
          <w:r w:rsidRPr="001155A8">
            <w:rPr>
              <w:i/>
              <w:shd w:val="clear" w:color="auto" w:fill="FFFFFF"/>
            </w:rPr>
            <w:t xml:space="preserve">K, </w:t>
          </w:r>
          <w:r w:rsidRPr="001155A8">
            <w:t>C</w:t>
          </w:r>
          <w:r w:rsidRPr="001155A8">
            <w:noBreakHyphen/>
            <w:t>285/20</w:t>
          </w:r>
          <w:r>
            <w:tab/>
          </w:r>
          <w:r>
            <w:fldChar w:fldCharType="begin"/>
          </w:r>
          <w:r>
            <w:instrText xml:space="preserve"> PAGEREF _Toc105161241 \h </w:instrText>
          </w:r>
          <w:r>
            <w:fldChar w:fldCharType="separate"/>
          </w:r>
          <w:r>
            <w:t>16</w:t>
          </w:r>
          <w:r>
            <w:fldChar w:fldCharType="end"/>
          </w:r>
        </w:p>
        <w:p w14:paraId="5C1A5595" w14:textId="7782A114"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Reglamento Nr. 883/2004 65 straipsnio 2 ir 5 dalių aiškinimo ir taikymo situacijai, kai prieš tapdamas visišku bedarbiu atitinkamas asmuo gyveno kitoje valstybėje narėje, kuri nėra kompetentinga valstybė narė, ir faktiškai nedirbo pagal darbo sutartį, bet tapo laikinai nedarbingas dėl ligos</w:t>
          </w:r>
          <w:r>
            <w:tab/>
          </w:r>
          <w:r>
            <w:fldChar w:fldCharType="begin"/>
          </w:r>
          <w:r>
            <w:instrText xml:space="preserve"> PAGEREF _Toc105161242 \h </w:instrText>
          </w:r>
          <w:r>
            <w:fldChar w:fldCharType="separate"/>
          </w:r>
          <w:r>
            <w:t>17</w:t>
          </w:r>
          <w:r>
            <w:fldChar w:fldCharType="end"/>
          </w:r>
        </w:p>
        <w:p w14:paraId="79521110" w14:textId="4CB3AE00"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Reglamento Nr. 883/2004 65 straipsnio 2 ir 5 dalių aiškinimo ir taikymo, atsižvelgiant į svarbias priežastis</w:t>
          </w:r>
          <w:r>
            <w:tab/>
          </w:r>
          <w:r>
            <w:fldChar w:fldCharType="begin"/>
          </w:r>
          <w:r>
            <w:instrText xml:space="preserve"> PAGEREF _Toc105161243 \h </w:instrText>
          </w:r>
          <w:r>
            <w:fldChar w:fldCharType="separate"/>
          </w:r>
          <w:r>
            <w:t>17</w:t>
          </w:r>
          <w:r>
            <w:fldChar w:fldCharType="end"/>
          </w:r>
        </w:p>
        <w:p w14:paraId="5C658E25" w14:textId="6073F686"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lastRenderedPageBreak/>
            <w:t>SVEIKATOS APSAUGA</w:t>
          </w:r>
          <w:r>
            <w:tab/>
          </w:r>
          <w:r>
            <w:fldChar w:fldCharType="begin"/>
          </w:r>
          <w:r>
            <w:instrText xml:space="preserve"> PAGEREF _Toc105161244 \h </w:instrText>
          </w:r>
          <w:r>
            <w:fldChar w:fldCharType="separate"/>
          </w:r>
          <w:r>
            <w:t>18</w:t>
          </w:r>
          <w:r>
            <w:fldChar w:fldCharType="end"/>
          </w:r>
        </w:p>
        <w:p w14:paraId="3F0AFAAE" w14:textId="05E6B77C"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spalio 6 d. sprendimas byloje </w:t>
          </w:r>
          <w:r w:rsidRPr="001155A8">
            <w:rPr>
              <w:i/>
              <w:shd w:val="clear" w:color="auto" w:fill="FFFFFF"/>
            </w:rPr>
            <w:t xml:space="preserve">TS, UT, </w:t>
          </w:r>
          <w:r w:rsidRPr="001155A8">
            <w:rPr>
              <w:i/>
            </w:rPr>
            <w:t>VU</w:t>
          </w:r>
          <w:r w:rsidRPr="001155A8">
            <w:rPr>
              <w:i/>
              <w:shd w:val="clear" w:color="auto" w:fill="FFFFFF"/>
            </w:rPr>
            <w:t xml:space="preserve"> prieš Casa Naţională de Asigurări de Sănătate,</w:t>
          </w:r>
          <w:r w:rsidRPr="001155A8">
            <w:rPr>
              <w:b w:val="0"/>
              <w:i/>
              <w:lang w:eastAsia="en-GB"/>
            </w:rPr>
            <w:t xml:space="preserve"> </w:t>
          </w:r>
          <w:r w:rsidRPr="001155A8">
            <w:rPr>
              <w:i/>
              <w:shd w:val="clear" w:color="auto" w:fill="FFFFFF"/>
            </w:rPr>
            <w:t>Casa de Asigurări de Sănătate Constanţa</w:t>
          </w:r>
          <w:r w:rsidRPr="001155A8">
            <w:rPr>
              <w:shd w:val="clear" w:color="auto" w:fill="FFFFFF"/>
            </w:rPr>
            <w:t xml:space="preserve">, </w:t>
          </w:r>
          <w:r>
            <w:t>C</w:t>
          </w:r>
          <w:r>
            <w:noBreakHyphen/>
            <w:t>538/19</w:t>
          </w:r>
          <w:r>
            <w:tab/>
          </w:r>
          <w:r>
            <w:fldChar w:fldCharType="begin"/>
          </w:r>
          <w:r>
            <w:instrText xml:space="preserve"> PAGEREF _Toc105161245 \h </w:instrText>
          </w:r>
          <w:r>
            <w:fldChar w:fldCharType="separate"/>
          </w:r>
          <w:r>
            <w:t>18</w:t>
          </w:r>
          <w:r>
            <w:fldChar w:fldCharType="end"/>
          </w:r>
        </w:p>
        <w:p w14:paraId="233FCBDD" w14:textId="3148CC0C"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Reglamento Nr. 883/2004 20 straipsnio, siejamo su SESV 56 straipsniu, aiškinimo, kada apdraustasis asmuo turi teisę į visišką gydymo išlaidų kompensavimą pagal šiame reglamente numatytas sąlygas</w:t>
          </w:r>
          <w:r>
            <w:tab/>
          </w:r>
          <w:r>
            <w:fldChar w:fldCharType="begin"/>
          </w:r>
          <w:r>
            <w:instrText xml:space="preserve"> PAGEREF _Toc105161246 \h </w:instrText>
          </w:r>
          <w:r>
            <w:fldChar w:fldCharType="separate"/>
          </w:r>
          <w:r>
            <w:t>19</w:t>
          </w:r>
          <w:r>
            <w:fldChar w:fldCharType="end"/>
          </w:r>
        </w:p>
        <w:p w14:paraId="617CB147" w14:textId="73E58094"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DARBUOTOJŲ SAUGA</w:t>
          </w:r>
          <w:r>
            <w:tab/>
          </w:r>
          <w:r>
            <w:fldChar w:fldCharType="begin"/>
          </w:r>
          <w:r>
            <w:instrText xml:space="preserve"> PAGEREF _Toc105161247 \h </w:instrText>
          </w:r>
          <w:r>
            <w:fldChar w:fldCharType="separate"/>
          </w:r>
          <w:r>
            <w:t>19</w:t>
          </w:r>
          <w:r>
            <w:fldChar w:fldCharType="end"/>
          </w:r>
        </w:p>
        <w:p w14:paraId="07A9E263" w14:textId="1402ACC7"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lapkričio 11 d. sprendimas byloje </w:t>
          </w:r>
          <w:r w:rsidRPr="001155A8">
            <w:rPr>
              <w:i/>
            </w:rPr>
            <w:t>Dublin City Council</w:t>
          </w:r>
          <w:r>
            <w:t>, C-214/2020</w:t>
          </w:r>
          <w:r>
            <w:tab/>
          </w:r>
          <w:r>
            <w:fldChar w:fldCharType="begin"/>
          </w:r>
          <w:r>
            <w:instrText xml:space="preserve"> PAGEREF _Toc105161248 \h </w:instrText>
          </w:r>
          <w:r>
            <w:fldChar w:fldCharType="separate"/>
          </w:r>
          <w:r>
            <w:t>19</w:t>
          </w:r>
          <w:r>
            <w:fldChar w:fldCharType="end"/>
          </w:r>
        </w:p>
        <w:p w14:paraId="1B5EB188" w14:textId="5AEE1E14"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pasyvaus budėjimo laiko pripažinimo darbo laiku</w:t>
          </w:r>
          <w:r>
            <w:tab/>
          </w:r>
          <w:r>
            <w:fldChar w:fldCharType="begin"/>
          </w:r>
          <w:r>
            <w:instrText xml:space="preserve"> PAGEREF _Toc105161249 \h </w:instrText>
          </w:r>
          <w:r>
            <w:fldChar w:fldCharType="separate"/>
          </w:r>
          <w:r>
            <w:t>20</w:t>
          </w:r>
          <w:r>
            <w:fldChar w:fldCharType="end"/>
          </w:r>
        </w:p>
        <w:p w14:paraId="1ACD5F69" w14:textId="1BB6E1C2"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TELEKOMUNIKACIJOS</w:t>
          </w:r>
          <w:r>
            <w:tab/>
          </w:r>
          <w:r>
            <w:fldChar w:fldCharType="begin"/>
          </w:r>
          <w:r>
            <w:instrText xml:space="preserve"> PAGEREF _Toc105161250 \h </w:instrText>
          </w:r>
          <w:r>
            <w:fldChar w:fldCharType="separate"/>
          </w:r>
          <w:r>
            <w:t>21</w:t>
          </w:r>
          <w:r>
            <w:fldChar w:fldCharType="end"/>
          </w:r>
        </w:p>
        <w:p w14:paraId="53D2110A" w14:textId="1790654B"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lapkričio 25 d. sprendimas byloje </w:t>
          </w:r>
          <w:r w:rsidRPr="001155A8">
            <w:rPr>
              <w:i/>
            </w:rPr>
            <w:t xml:space="preserve">StWL Städtische Werke Lauf a.d. Pegnitz GmbH, </w:t>
          </w:r>
          <w:r>
            <w:t>C</w:t>
          </w:r>
          <w:r>
            <w:noBreakHyphen/>
            <w:t>102/20</w:t>
          </w:r>
          <w:r>
            <w:tab/>
          </w:r>
          <w:r>
            <w:fldChar w:fldCharType="begin"/>
          </w:r>
          <w:r>
            <w:instrText xml:space="preserve"> PAGEREF _Toc105161251 \h </w:instrText>
          </w:r>
          <w:r>
            <w:fldChar w:fldCharType="separate"/>
          </w:r>
          <w:r>
            <w:t>21</w:t>
          </w:r>
          <w:r>
            <w:fldChar w:fldCharType="end"/>
          </w:r>
        </w:p>
        <w:p w14:paraId="3CE49AEE" w14:textId="7AC3DD3A"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sąvokų „elektroninio pašto naudojimas tiesioginės rinkodaros tikslais“ bei „atkaklus ir nepageidaujamas raginimas“ aiškinimo</w:t>
          </w:r>
          <w:r>
            <w:tab/>
          </w:r>
          <w:r>
            <w:fldChar w:fldCharType="begin"/>
          </w:r>
          <w:r>
            <w:instrText xml:space="preserve"> PAGEREF _Toc105161252 \h </w:instrText>
          </w:r>
          <w:r>
            <w:fldChar w:fldCharType="separate"/>
          </w:r>
          <w:r>
            <w:t>21</w:t>
          </w:r>
          <w:r>
            <w:fldChar w:fldCharType="end"/>
          </w:r>
        </w:p>
        <w:p w14:paraId="29185E53" w14:textId="36C31E05"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TRANSPORTAS</w:t>
          </w:r>
          <w:r>
            <w:tab/>
          </w:r>
          <w:r>
            <w:fldChar w:fldCharType="begin"/>
          </w:r>
          <w:r>
            <w:instrText xml:space="preserve"> PAGEREF _Toc105161253 \h </w:instrText>
          </w:r>
          <w:r>
            <w:fldChar w:fldCharType="separate"/>
          </w:r>
          <w:r>
            <w:t>22</w:t>
          </w:r>
          <w:r>
            <w:fldChar w:fldCharType="end"/>
          </w:r>
        </w:p>
        <w:p w14:paraId="26E76308" w14:textId="4F4B7E50"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rugsėjo 9 d. sprendimas byloje </w:t>
          </w:r>
          <w:r w:rsidRPr="001155A8">
            <w:rPr>
              <w:i/>
            </w:rPr>
            <w:t>Ministère public (Sanctions extraterritoriales)</w:t>
          </w:r>
          <w:r>
            <w:t>, C</w:t>
          </w:r>
          <w:r w:rsidRPr="001155A8">
            <w:rPr>
              <w:rFonts w:ascii="Cambria Math" w:hAnsi="Cambria Math" w:cs="Cambria Math"/>
            </w:rPr>
            <w:t>‑</w:t>
          </w:r>
          <w:r>
            <w:t>906/19</w:t>
          </w:r>
          <w:r>
            <w:tab/>
          </w:r>
          <w:r>
            <w:fldChar w:fldCharType="begin"/>
          </w:r>
          <w:r>
            <w:instrText xml:space="preserve"> PAGEREF _Toc105161254 \h </w:instrText>
          </w:r>
          <w:r>
            <w:fldChar w:fldCharType="separate"/>
          </w:r>
          <w:r>
            <w:t>22</w:t>
          </w:r>
          <w:r>
            <w:fldChar w:fldCharType="end"/>
          </w:r>
        </w:p>
        <w:p w14:paraId="15CEEB52" w14:textId="196194DC"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pareigos naudoti (įstatyti į tachografą) vairuotojo kortelę tais atvejais, kai transporto priemonė per 28 dienų laikotarpį naudojama „mišriai“, t. y. dalį laikotarpio naudojama keleivių vežimui reguliariaisiais maršrutais, neviršijančiais 50 km</w:t>
          </w:r>
          <w:r>
            <w:tab/>
          </w:r>
          <w:r>
            <w:fldChar w:fldCharType="begin"/>
          </w:r>
          <w:r>
            <w:instrText xml:space="preserve"> PAGEREF _Toc105161255 \h </w:instrText>
          </w:r>
          <w:r>
            <w:fldChar w:fldCharType="separate"/>
          </w:r>
          <w:r>
            <w:t>23</w:t>
          </w:r>
          <w:r>
            <w:fldChar w:fldCharType="end"/>
          </w:r>
        </w:p>
        <w:p w14:paraId="3E267238" w14:textId="51E0AEF9"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valstybės narės kompetentingos institucijos jurisdikcijos skirti sankciją transporto priemonės vairuotojui ar transporto įmonei už Reglamento Nr. 3821/85 pažeidimą, kuris padarytas kitos valstybės narės ar trečiosios šalies teritorijoje, tačiau kuris buvo konstatuotas jos teritorijoje ir už kurį sankcija dar nebuvo taikyta</w:t>
          </w:r>
          <w:r>
            <w:tab/>
          </w:r>
          <w:r>
            <w:fldChar w:fldCharType="begin"/>
          </w:r>
          <w:r>
            <w:instrText xml:space="preserve"> PAGEREF _Toc105161256 \h </w:instrText>
          </w:r>
          <w:r>
            <w:fldChar w:fldCharType="separate"/>
          </w:r>
          <w:r>
            <w:t>24</w:t>
          </w:r>
          <w:r>
            <w:fldChar w:fldCharType="end"/>
          </w:r>
        </w:p>
        <w:p w14:paraId="63F8A87B" w14:textId="1C71A07F"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rsidRPr="001155A8">
            <w:t>VALSTYBĖS PAGALBA</w:t>
          </w:r>
          <w:r>
            <w:tab/>
          </w:r>
          <w:r>
            <w:fldChar w:fldCharType="begin"/>
          </w:r>
          <w:r>
            <w:instrText xml:space="preserve"> PAGEREF _Toc105161257 \h </w:instrText>
          </w:r>
          <w:r>
            <w:fldChar w:fldCharType="separate"/>
          </w:r>
          <w:r>
            <w:t>24</w:t>
          </w:r>
          <w:r>
            <w:fldChar w:fldCharType="end"/>
          </w:r>
        </w:p>
        <w:p w14:paraId="5564643A" w14:textId="237C22E1"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spalio 28 d. sprendimas sujungtose bylose </w:t>
          </w:r>
          <w:r w:rsidRPr="001155A8">
            <w:rPr>
              <w:i/>
            </w:rPr>
            <w:t xml:space="preserve">Eco Fox, </w:t>
          </w:r>
          <w:r>
            <w:t>C</w:t>
          </w:r>
          <w:r>
            <w:noBreakHyphen/>
            <w:t>915/19–C</w:t>
          </w:r>
          <w:r>
            <w:noBreakHyphen/>
            <w:t>917/19</w:t>
          </w:r>
          <w:r>
            <w:tab/>
          </w:r>
          <w:r>
            <w:fldChar w:fldCharType="begin"/>
          </w:r>
          <w:r>
            <w:instrText xml:space="preserve"> PAGEREF _Toc105161258 \h </w:instrText>
          </w:r>
          <w:r>
            <w:fldChar w:fldCharType="separate"/>
          </w:r>
          <w:r>
            <w:t>24</w:t>
          </w:r>
          <w:r>
            <w:fldChar w:fldCharType="end"/>
          </w:r>
        </w:p>
        <w:p w14:paraId="0765F458" w14:textId="77B2C4B1"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esamos pagalbos pakeitimo kriterijų</w:t>
          </w:r>
          <w:r>
            <w:tab/>
          </w:r>
          <w:r>
            <w:fldChar w:fldCharType="begin"/>
          </w:r>
          <w:r>
            <w:instrText xml:space="preserve"> PAGEREF _Toc105161259 \h </w:instrText>
          </w:r>
          <w:r>
            <w:fldChar w:fldCharType="separate"/>
          </w:r>
          <w:r>
            <w:t>25</w:t>
          </w:r>
          <w:r>
            <w:fldChar w:fldCharType="end"/>
          </w:r>
        </w:p>
        <w:p w14:paraId="6D5B7D54" w14:textId="23E44AAB"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BENDRA ŽEMĖS ŪKIO POLITIKA</w:t>
          </w:r>
          <w:r>
            <w:tab/>
          </w:r>
          <w:r>
            <w:fldChar w:fldCharType="begin"/>
          </w:r>
          <w:r>
            <w:instrText xml:space="preserve"> PAGEREF _Toc105161260 \h </w:instrText>
          </w:r>
          <w:r>
            <w:fldChar w:fldCharType="separate"/>
          </w:r>
          <w:r>
            <w:t>26</w:t>
          </w:r>
          <w:r>
            <w:fldChar w:fldCharType="end"/>
          </w:r>
        </w:p>
        <w:p w14:paraId="69E3E38B" w14:textId="2A3B298C"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spalio 6 d. sprendimas byloje </w:t>
          </w:r>
          <w:r w:rsidRPr="001155A8">
            <w:rPr>
              <w:i/>
            </w:rPr>
            <w:t>Lauku atbalsta dienests (Aides au démarrage d’entreprises agricoles)</w:t>
          </w:r>
          <w:r>
            <w:t>, C-119/2020</w:t>
          </w:r>
          <w:r>
            <w:tab/>
          </w:r>
          <w:r>
            <w:fldChar w:fldCharType="begin"/>
          </w:r>
          <w:r>
            <w:instrText xml:space="preserve"> PAGEREF _Toc105161261 \h </w:instrText>
          </w:r>
          <w:r>
            <w:fldChar w:fldCharType="separate"/>
          </w:r>
          <w:r>
            <w:t>26</w:t>
          </w:r>
          <w:r>
            <w:fldChar w:fldCharType="end"/>
          </w:r>
        </w:p>
        <w:p w14:paraId="669D3837" w14:textId="49E0E905"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galimybės pretenduoti į paramą jauniesiems ūkininkams ir paramą smulkių ūkių plėtrai (Reglamento Nr. 1305/2013 19 straipsnio 1 dalies a punkto i ir iii papunkčiai)</w:t>
          </w:r>
          <w:r>
            <w:tab/>
          </w:r>
          <w:r>
            <w:fldChar w:fldCharType="begin"/>
          </w:r>
          <w:r>
            <w:instrText xml:space="preserve"> PAGEREF _Toc105161262 \h </w:instrText>
          </w:r>
          <w:r>
            <w:fldChar w:fldCharType="separate"/>
          </w:r>
          <w:r>
            <w:t>27</w:t>
          </w:r>
          <w:r>
            <w:fldChar w:fldCharType="end"/>
          </w:r>
        </w:p>
        <w:p w14:paraId="38828553" w14:textId="4E523FC8"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valstybės narės teisės nustatyti draudimą išmokėti paramą jaunajam ūkininkui, jau gavusiam verslo pradžios paramą smulkaus ūkio plėtrai</w:t>
          </w:r>
          <w:r>
            <w:tab/>
          </w:r>
          <w:r>
            <w:fldChar w:fldCharType="begin"/>
          </w:r>
          <w:r>
            <w:instrText xml:space="preserve"> PAGEREF _Toc105161263 \h </w:instrText>
          </w:r>
          <w:r>
            <w:fldChar w:fldCharType="separate"/>
          </w:r>
          <w:r>
            <w:t>27</w:t>
          </w:r>
          <w:r>
            <w:fldChar w:fldCharType="end"/>
          </w:r>
        </w:p>
        <w:p w14:paraId="024197D9" w14:textId="18D2108D"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spalio 14 d. sprendimas byloje </w:t>
          </w:r>
          <w:r w:rsidRPr="001155A8">
            <w:rPr>
              <w:i/>
            </w:rPr>
            <w:t>Dyrektor Z. Oddziału Regionalnego Agencji Restrukturyzacji i Modernizacji Rolnictwa</w:t>
          </w:r>
          <w:r>
            <w:t>, C-373/2020</w:t>
          </w:r>
          <w:r>
            <w:tab/>
          </w:r>
          <w:r>
            <w:fldChar w:fldCharType="begin"/>
          </w:r>
          <w:r>
            <w:instrText xml:space="preserve"> PAGEREF _Toc105161264 \h </w:instrText>
          </w:r>
          <w:r>
            <w:fldChar w:fldCharType="separate"/>
          </w:r>
          <w:r>
            <w:t>27</w:t>
          </w:r>
          <w:r>
            <w:fldChar w:fldCharType="end"/>
          </w:r>
        </w:p>
        <w:p w14:paraId="296B1961" w14:textId="26095F25"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natūralaus periodiškai vykstančio daugiamečių pievų ir ganyklų užliejimo nelaikymo sėjomaina</w:t>
          </w:r>
          <w:r>
            <w:tab/>
          </w:r>
          <w:r>
            <w:fldChar w:fldCharType="begin"/>
          </w:r>
          <w:r>
            <w:instrText xml:space="preserve"> PAGEREF _Toc105161265 \h </w:instrText>
          </w:r>
          <w:r>
            <w:fldChar w:fldCharType="separate"/>
          </w:r>
          <w:r>
            <w:t>28</w:t>
          </w:r>
          <w:r>
            <w:fldChar w:fldCharType="end"/>
          </w:r>
        </w:p>
        <w:p w14:paraId="0CB964E7" w14:textId="72E56A1F"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VARTOTOJAI</w:t>
          </w:r>
          <w:r>
            <w:tab/>
          </w:r>
          <w:r>
            <w:fldChar w:fldCharType="begin"/>
          </w:r>
          <w:r>
            <w:instrText xml:space="preserve"> PAGEREF _Toc105161266 \h </w:instrText>
          </w:r>
          <w:r>
            <w:fldChar w:fldCharType="separate"/>
          </w:r>
          <w:r>
            <w:t>29</w:t>
          </w:r>
          <w:r>
            <w:fldChar w:fldCharType="end"/>
          </w:r>
        </w:p>
        <w:p w14:paraId="3F60A10C" w14:textId="7585602A"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lapkričio 11 d. sprendimas byloje </w:t>
          </w:r>
          <w:r w:rsidRPr="001155A8">
            <w:rPr>
              <w:i/>
            </w:rPr>
            <w:t>Dr. August Oetker Nahrungsmittel</w:t>
          </w:r>
          <w:r w:rsidRPr="001155A8">
            <w:rPr>
              <w:b w:val="0"/>
              <w:i/>
            </w:rPr>
            <w:t xml:space="preserve">, </w:t>
          </w:r>
          <w:r>
            <w:t>C</w:t>
          </w:r>
          <w:r w:rsidRPr="001155A8">
            <w:rPr>
              <w:rFonts w:ascii="Cambria Math" w:hAnsi="Cambria Math" w:cs="Cambria Math"/>
            </w:rPr>
            <w:t>‑</w:t>
          </w:r>
          <w:r>
            <w:t>388/20</w:t>
          </w:r>
          <w:r>
            <w:tab/>
          </w:r>
          <w:r>
            <w:fldChar w:fldCharType="begin"/>
          </w:r>
          <w:r>
            <w:instrText xml:space="preserve"> PAGEREF _Toc105161267 \h </w:instrText>
          </w:r>
          <w:r>
            <w:fldChar w:fldCharType="separate"/>
          </w:r>
          <w:r>
            <w:t>29</w:t>
          </w:r>
          <w:r>
            <w:fldChar w:fldCharType="end"/>
          </w:r>
        </w:p>
        <w:p w14:paraId="790F2CDC" w14:textId="60FFB15D"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maisto produkto maistingumo deklaracijos savanoriško pakartojimo priekinėje pakuotės pusėje, kai nurodomas tik vienas iš parduodamo produkto paruošimo būdų</w:t>
          </w:r>
          <w:r>
            <w:tab/>
          </w:r>
          <w:r>
            <w:fldChar w:fldCharType="begin"/>
          </w:r>
          <w:r>
            <w:instrText xml:space="preserve"> PAGEREF _Toc105161268 \h </w:instrText>
          </w:r>
          <w:r>
            <w:fldChar w:fldCharType="separate"/>
          </w:r>
          <w:r>
            <w:t>29</w:t>
          </w:r>
          <w:r>
            <w:fldChar w:fldCharType="end"/>
          </w:r>
        </w:p>
        <w:p w14:paraId="5638FC84" w14:textId="1ADEB651"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gruodžio 9 d. sprendimas byloje </w:t>
          </w:r>
          <w:r w:rsidRPr="001155A8">
            <w:rPr>
              <w:i/>
            </w:rPr>
            <w:t xml:space="preserve">Pro Rauchfrei, </w:t>
          </w:r>
          <w:r>
            <w:t>C</w:t>
          </w:r>
          <w:r w:rsidRPr="001155A8">
            <w:rPr>
              <w:rFonts w:ascii="Cambria Math" w:hAnsi="Cambria Math" w:cs="Cambria Math"/>
            </w:rPr>
            <w:t>‑</w:t>
          </w:r>
          <w:r>
            <w:t>370/20</w:t>
          </w:r>
          <w:r>
            <w:tab/>
          </w:r>
          <w:r>
            <w:fldChar w:fldCharType="begin"/>
          </w:r>
          <w:r>
            <w:instrText xml:space="preserve"> PAGEREF _Toc105161269 \h </w:instrText>
          </w:r>
          <w:r>
            <w:fldChar w:fldCharType="separate"/>
          </w:r>
          <w:r>
            <w:t>29</w:t>
          </w:r>
          <w:r>
            <w:fldChar w:fldCharType="end"/>
          </w:r>
        </w:p>
        <w:p w14:paraId="633C32E3" w14:textId="10060B27"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vartotojams skirtų tabako pakuočių „atvaizdo“ ir įspėjimų apie galimą žalą sveikatai</w:t>
          </w:r>
          <w:r>
            <w:tab/>
          </w:r>
          <w:r>
            <w:fldChar w:fldCharType="begin"/>
          </w:r>
          <w:r>
            <w:instrText xml:space="preserve"> PAGEREF _Toc105161270 \h </w:instrText>
          </w:r>
          <w:r>
            <w:fldChar w:fldCharType="separate"/>
          </w:r>
          <w:r>
            <w:t>30</w:t>
          </w:r>
          <w:r>
            <w:fldChar w:fldCharType="end"/>
          </w:r>
        </w:p>
        <w:p w14:paraId="17790DA0" w14:textId="33829FCE"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LAIKINŲJŲ APSAUGOS PRIEMONIŲ TAIKYMAS</w:t>
          </w:r>
          <w:r>
            <w:tab/>
          </w:r>
          <w:r>
            <w:fldChar w:fldCharType="begin"/>
          </w:r>
          <w:r>
            <w:instrText xml:space="preserve"> PAGEREF _Toc105161271 \h </w:instrText>
          </w:r>
          <w:r>
            <w:fldChar w:fldCharType="separate"/>
          </w:r>
          <w:r>
            <w:t>30</w:t>
          </w:r>
          <w:r>
            <w:fldChar w:fldCharType="end"/>
          </w:r>
        </w:p>
        <w:p w14:paraId="1A0C80D4" w14:textId="5D2EE56A"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2021 m. rugsėjo 20 d. nutartis byloje </w:t>
          </w:r>
          <w:r w:rsidRPr="001155A8">
            <w:rPr>
              <w:i/>
              <w:shd w:val="clear" w:color="auto" w:fill="FFFFFF"/>
            </w:rPr>
            <w:t xml:space="preserve">Čekijos Respublika prieš </w:t>
          </w:r>
          <w:r w:rsidRPr="001155A8">
            <w:rPr>
              <w:i/>
            </w:rPr>
            <w:t>Lenkijos</w:t>
          </w:r>
          <w:r w:rsidRPr="001155A8">
            <w:rPr>
              <w:i/>
              <w:shd w:val="clear" w:color="auto" w:fill="FFFFFF"/>
            </w:rPr>
            <w:t xml:space="preserve"> Respubliką</w:t>
          </w:r>
          <w:r w:rsidRPr="001155A8">
            <w:rPr>
              <w:shd w:val="clear" w:color="auto" w:fill="FFFFFF"/>
            </w:rPr>
            <w:t xml:space="preserve">, </w:t>
          </w:r>
          <w:r w:rsidRPr="001155A8">
            <w:rPr>
              <w:color w:val="002060"/>
            </w:rPr>
            <w:t>C</w:t>
          </w:r>
          <w:r w:rsidRPr="001155A8">
            <w:rPr>
              <w:color w:val="002060"/>
            </w:rPr>
            <w:noBreakHyphen/>
          </w:r>
          <w:r>
            <w:t>121</w:t>
          </w:r>
          <w:r w:rsidRPr="001155A8">
            <w:rPr>
              <w:color w:val="002060"/>
            </w:rPr>
            <w:t>/21 R</w:t>
          </w:r>
          <w:r>
            <w:tab/>
          </w:r>
          <w:r>
            <w:fldChar w:fldCharType="begin"/>
          </w:r>
          <w:r>
            <w:instrText xml:space="preserve"> PAGEREF _Toc105161272 \h </w:instrText>
          </w:r>
          <w:r>
            <w:fldChar w:fldCharType="separate"/>
          </w:r>
          <w:r>
            <w:t>30</w:t>
          </w:r>
          <w:r>
            <w:fldChar w:fldCharType="end"/>
          </w:r>
        </w:p>
        <w:p w14:paraId="6CB7065A" w14:textId="5AFBD959"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laikinųjų apsaugos priemonių taikymo – periodinės baudos priteisimo iš valstybės, nevykdančios įsipareigojimų pagal Teisingumo Teismo nutartį</w:t>
          </w:r>
          <w:r>
            <w:tab/>
          </w:r>
          <w:r>
            <w:fldChar w:fldCharType="begin"/>
          </w:r>
          <w:r>
            <w:instrText xml:space="preserve"> PAGEREF _Toc105161273 \h </w:instrText>
          </w:r>
          <w:r>
            <w:fldChar w:fldCharType="separate"/>
          </w:r>
          <w:r>
            <w:t>31</w:t>
          </w:r>
          <w:r>
            <w:fldChar w:fldCharType="end"/>
          </w:r>
        </w:p>
        <w:p w14:paraId="447B9385" w14:textId="26AC893B"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NACIONALINIŲ TEISMŲ IR EUROPOS SĄJUNGOS TEISINGUMO TEISMO BENDRADARBIAVIMAS</w:t>
          </w:r>
          <w:r>
            <w:tab/>
          </w:r>
          <w:r>
            <w:fldChar w:fldCharType="begin"/>
          </w:r>
          <w:r>
            <w:instrText xml:space="preserve"> PAGEREF _Toc105161274 \h </w:instrText>
          </w:r>
          <w:r>
            <w:fldChar w:fldCharType="separate"/>
          </w:r>
          <w:r>
            <w:t>31</w:t>
          </w:r>
          <w:r>
            <w:fldChar w:fldCharType="end"/>
          </w:r>
        </w:p>
        <w:p w14:paraId="53D733A6" w14:textId="5C72D6C2"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Didžiosios kolegijos 2021 m. spalio 6 d. sprendimas byloje </w:t>
          </w:r>
          <w:r w:rsidRPr="001155A8">
            <w:rPr>
              <w:i/>
            </w:rPr>
            <w:t>Catania Multiservizi SpA,</w:t>
          </w:r>
          <w:r>
            <w:t xml:space="preserve"> C</w:t>
          </w:r>
          <w:r w:rsidRPr="001155A8">
            <w:rPr>
              <w:rFonts w:ascii="Cambria Math" w:hAnsi="Cambria Math" w:cs="Cambria Math"/>
            </w:rPr>
            <w:t>‑</w:t>
          </w:r>
          <w:r>
            <w:t>281/20</w:t>
          </w:r>
          <w:r>
            <w:tab/>
          </w:r>
          <w:r>
            <w:fldChar w:fldCharType="begin"/>
          </w:r>
          <w:r>
            <w:instrText xml:space="preserve"> PAGEREF _Toc105161275 \h </w:instrText>
          </w:r>
          <w:r>
            <w:fldChar w:fldCharType="separate"/>
          </w:r>
          <w:r>
            <w:t>31</w:t>
          </w:r>
          <w:r>
            <w:fldChar w:fldCharType="end"/>
          </w:r>
        </w:p>
        <w:p w14:paraId="01E55B73" w14:textId="1728D11F"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galutinės instancijos teismo pareigos kreiptis į Teisingumo Teismą dėl prejudicinio sprendimo priėmimo</w:t>
          </w:r>
          <w:r>
            <w:tab/>
          </w:r>
          <w:r>
            <w:fldChar w:fldCharType="begin"/>
          </w:r>
          <w:r>
            <w:instrText xml:space="preserve"> PAGEREF _Toc105161276 \h </w:instrText>
          </w:r>
          <w:r>
            <w:fldChar w:fldCharType="separate"/>
          </w:r>
          <w:r>
            <w:t>31</w:t>
          </w:r>
          <w:r>
            <w:fldChar w:fldCharType="end"/>
          </w:r>
        </w:p>
        <w:p w14:paraId="56F1ECB8" w14:textId="74FFA66B"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lastRenderedPageBreak/>
            <w:t>IEŠKINIAI DĖL PANAIKINIMO</w:t>
          </w:r>
          <w:r>
            <w:tab/>
          </w:r>
          <w:r>
            <w:fldChar w:fldCharType="begin"/>
          </w:r>
          <w:r>
            <w:instrText xml:space="preserve"> PAGEREF _Toc105161277 \h </w:instrText>
          </w:r>
          <w:r>
            <w:fldChar w:fldCharType="separate"/>
          </w:r>
          <w:r>
            <w:t>32</w:t>
          </w:r>
          <w:r>
            <w:fldChar w:fldCharType="end"/>
          </w:r>
        </w:p>
        <w:p w14:paraId="1A13338D" w14:textId="201F6844" w:rsidR="009749B8" w:rsidRDefault="009749B8">
          <w:pPr>
            <w:pStyle w:val="Turinys1"/>
            <w:rPr>
              <w:rFonts w:asciiTheme="minorHAnsi" w:eastAsiaTheme="minorEastAsia" w:hAnsiTheme="minorHAnsi" w:cstheme="minorBidi"/>
              <w:b w:val="0"/>
              <w:bCs w:val="0"/>
              <w:iCs w:val="0"/>
              <w:color w:val="auto"/>
              <w:kern w:val="0"/>
              <w:sz w:val="22"/>
              <w:lang w:val="en-US" w:eastAsia="en-US"/>
            </w:rPr>
          </w:pPr>
          <w:r>
            <w:t xml:space="preserve">Didžiosios kolegijos 2021 m. liepos 15 d. sprendimas byloje </w:t>
          </w:r>
          <w:r w:rsidRPr="001155A8">
            <w:rPr>
              <w:i/>
            </w:rPr>
            <w:t>Fédération bancaire française (FBF)</w:t>
          </w:r>
          <w:r>
            <w:t>, C</w:t>
          </w:r>
          <w:r>
            <w:noBreakHyphen/>
            <w:t>911/19</w:t>
          </w:r>
          <w:r>
            <w:tab/>
          </w:r>
          <w:r>
            <w:fldChar w:fldCharType="begin"/>
          </w:r>
          <w:r>
            <w:instrText xml:space="preserve"> PAGEREF _Toc105161278 \h </w:instrText>
          </w:r>
          <w:r>
            <w:fldChar w:fldCharType="separate"/>
          </w:r>
          <w:r>
            <w:t>32</w:t>
          </w:r>
          <w:r>
            <w:fldChar w:fldCharType="end"/>
          </w:r>
        </w:p>
        <w:p w14:paraId="6DAD777F" w14:textId="71CC37A5" w:rsidR="009749B8" w:rsidRDefault="009749B8">
          <w:pPr>
            <w:pStyle w:val="Turinys3"/>
            <w:rPr>
              <w:rFonts w:asciiTheme="minorHAnsi" w:eastAsiaTheme="minorEastAsia" w:hAnsiTheme="minorHAnsi" w:cstheme="minorBidi"/>
              <w:bCs w:val="0"/>
              <w:i w:val="0"/>
              <w:sz w:val="22"/>
              <w:shd w:val="clear" w:color="auto" w:fill="auto"/>
              <w:lang w:val="en-US" w:eastAsia="en-US"/>
            </w:rPr>
          </w:pPr>
          <w:r>
            <w:t>Dėl galimybės pareikšti ieškinį pagal SESV 263 straipsnį dėl Europos bankininkystės institucijos (EBI) Mažmeninės bankininkystės produktų priežiūros ir valdymo gairių panaikinimo, taip pat Teisingumo Teismo jurisdikcijos vertinti šių gairių galiojimą</w:t>
          </w:r>
          <w:r>
            <w:tab/>
          </w:r>
          <w:r>
            <w:fldChar w:fldCharType="begin"/>
          </w:r>
          <w:r>
            <w:instrText xml:space="preserve"> PAGEREF _Toc105161279 \h </w:instrText>
          </w:r>
          <w:r>
            <w:fldChar w:fldCharType="separate"/>
          </w:r>
          <w:r>
            <w:t>33</w:t>
          </w:r>
          <w:r>
            <w:fldChar w:fldCharType="end"/>
          </w:r>
        </w:p>
        <w:p w14:paraId="320BA47E" w14:textId="32CE23B8" w:rsidR="001B17EF" w:rsidRPr="0069032F" w:rsidRDefault="006C6208" w:rsidP="002C41B9">
          <w:pPr>
            <w:rPr>
              <w:rFonts w:asciiTheme="minorHAnsi" w:hAnsiTheme="minorHAnsi" w:cstheme="minorHAnsi"/>
            </w:rPr>
          </w:pPr>
          <w:r w:rsidRPr="0069032F">
            <w:rPr>
              <w:rFonts w:asciiTheme="minorHAnsi" w:eastAsia="Times New Roman" w:hAnsiTheme="minorHAnsi" w:cstheme="minorHAnsi"/>
              <w:noProof/>
              <w:color w:val="1F4E79" w:themeColor="accent1" w:themeShade="80"/>
              <w:kern w:val="32"/>
              <w:lang w:eastAsia="lt-LT"/>
            </w:rPr>
            <w:fldChar w:fldCharType="end"/>
          </w:r>
        </w:p>
      </w:sdtContent>
    </w:sdt>
    <w:p w14:paraId="68B0E235" w14:textId="46F5A433" w:rsidR="001B17EF" w:rsidRDefault="001B17EF" w:rsidP="002C41B9">
      <w:pPr>
        <w:rPr>
          <w:rFonts w:asciiTheme="minorHAnsi" w:hAnsiTheme="minorHAnsi" w:cstheme="minorHAnsi"/>
          <w:b/>
          <w:i/>
          <w:color w:val="44546A" w:themeColor="text2"/>
        </w:rPr>
      </w:pPr>
    </w:p>
    <w:p w14:paraId="7363EE62" w14:textId="77777777" w:rsidR="001B17EF" w:rsidRPr="0069032F" w:rsidRDefault="001B17EF" w:rsidP="002C41B9">
      <w:pPr>
        <w:rPr>
          <w:rFonts w:asciiTheme="minorHAnsi" w:hAnsiTheme="minorHAnsi" w:cstheme="minorHAnsi"/>
          <w:b/>
          <w:i/>
          <w:color w:val="44546A" w:themeColor="text2"/>
        </w:rPr>
      </w:pPr>
    </w:p>
    <w:p w14:paraId="7FB3B8B7" w14:textId="573A37FE" w:rsidR="00DC60D8" w:rsidRPr="0069032F" w:rsidRDefault="002C41B9" w:rsidP="00AD0B10">
      <w:pPr>
        <w:rPr>
          <w:rFonts w:asciiTheme="minorHAnsi" w:hAnsiTheme="minorHAnsi" w:cstheme="minorHAnsi"/>
          <w:i/>
          <w:color w:val="44546A" w:themeColor="text2"/>
        </w:rPr>
      </w:pPr>
      <w:r w:rsidRPr="0069032F">
        <w:rPr>
          <w:rFonts w:asciiTheme="minorHAnsi" w:hAnsiTheme="minorHAnsi" w:cstheme="minorHAnsi"/>
          <w:b/>
          <w:i/>
          <w:color w:val="44546A" w:themeColor="text2"/>
        </w:rPr>
        <w:t>Pastaba.</w:t>
      </w:r>
      <w:r w:rsidRPr="0069032F">
        <w:rPr>
          <w:rFonts w:asciiTheme="minorHAnsi" w:hAnsiTheme="minorHAnsi" w:cstheme="minorHAnsi"/>
          <w:i/>
        </w:rPr>
        <w:t xml:space="preserve"> Šioje apžvalgoje pateikiamos neoficialios Europos Sąjungos Teisingumo Teismo (toliau – ir Teisingumo Teismas, ESTT) procesinių sprendimų </w:t>
      </w:r>
      <w:r w:rsidR="00DC60D8" w:rsidRPr="0069032F">
        <w:rPr>
          <w:rFonts w:asciiTheme="minorHAnsi" w:hAnsiTheme="minorHAnsi" w:cstheme="minorHAnsi"/>
          <w:i/>
        </w:rPr>
        <w:t>apžvalgos</w:t>
      </w:r>
      <w:r w:rsidRPr="0069032F">
        <w:rPr>
          <w:rFonts w:asciiTheme="minorHAnsi" w:hAnsiTheme="minorHAnsi" w:cstheme="minorHAnsi"/>
          <w:i/>
        </w:rPr>
        <w:t xml:space="preserve">. </w:t>
      </w:r>
      <w:r w:rsidR="00DC60D8" w:rsidRPr="0069032F">
        <w:rPr>
          <w:rFonts w:asciiTheme="minorHAnsi" w:hAnsiTheme="minorHAnsi" w:cstheme="minorHAnsi"/>
          <w:i/>
        </w:rPr>
        <w:t xml:space="preserve">Apžvalgos rengiamos, be kita ko, atsižvelgiant į Europos Sąjungos Tyrimų ir dokumentacijos direktorato parengtas teismo sprendimų ir nutarčių santraukas. </w:t>
      </w:r>
      <w:r w:rsidRPr="0069032F">
        <w:rPr>
          <w:rFonts w:asciiTheme="minorHAnsi" w:hAnsiTheme="minorHAnsi" w:cstheme="minorHAnsi"/>
          <w:i/>
        </w:rPr>
        <w:t xml:space="preserve">Šis dokumentas yra skirtas tik informuoti ir Lietuvos vyriausiasis administracinis teismas neprisiima atsakomybės už šių procesinių dokumentų vertimus. Oficialius ir išsamius sprendimų tekstus galite rasti Europos Sąjungos Teisingumo Teismo interneto svetainėje </w:t>
      </w:r>
      <w:hyperlink r:id="rId9" w:history="1">
        <w:r w:rsidRPr="0069032F">
          <w:rPr>
            <w:rStyle w:val="Hipersaitas"/>
            <w:rFonts w:asciiTheme="minorHAnsi" w:hAnsiTheme="minorHAnsi" w:cstheme="minorHAnsi"/>
            <w:i/>
            <w:color w:val="44546A" w:themeColor="text2"/>
          </w:rPr>
          <w:t>http://curia.europa.eu/</w:t>
        </w:r>
      </w:hyperlink>
      <w:r w:rsidRPr="0069032F">
        <w:rPr>
          <w:rFonts w:asciiTheme="minorHAnsi" w:hAnsiTheme="minorHAnsi" w:cstheme="minorHAnsi"/>
          <w:i/>
        </w:rPr>
        <w:t xml:space="preserve"> ir Europos Sąjungos teisės interneto svetainėje </w:t>
      </w:r>
      <w:hyperlink r:id="rId10" w:history="1">
        <w:r w:rsidRPr="0069032F">
          <w:rPr>
            <w:rStyle w:val="Hipersaitas"/>
            <w:rFonts w:asciiTheme="minorHAnsi" w:hAnsiTheme="minorHAnsi" w:cstheme="minorHAnsi"/>
            <w:i/>
            <w:color w:val="44546A" w:themeColor="text2"/>
          </w:rPr>
          <w:t>http://eur-lex.europa.eu/</w:t>
        </w:r>
      </w:hyperlink>
      <w:r w:rsidRPr="0069032F">
        <w:rPr>
          <w:rFonts w:asciiTheme="minorHAnsi" w:hAnsiTheme="minorHAnsi" w:cstheme="minorHAnsi"/>
          <w:i/>
          <w:color w:val="44546A" w:themeColor="text2"/>
        </w:rPr>
        <w:t>.</w:t>
      </w:r>
    </w:p>
    <w:p w14:paraId="11B6F578" w14:textId="0F6DAF3D" w:rsidR="00E67F06" w:rsidRPr="0069032F" w:rsidRDefault="00DC60D8" w:rsidP="00DC60D8">
      <w:pPr>
        <w:spacing w:after="160" w:line="259" w:lineRule="auto"/>
        <w:jc w:val="left"/>
        <w:rPr>
          <w:rFonts w:asciiTheme="minorHAnsi" w:hAnsiTheme="minorHAnsi" w:cstheme="minorHAnsi"/>
          <w:i/>
          <w:color w:val="44546A" w:themeColor="text2"/>
        </w:rPr>
      </w:pPr>
      <w:r w:rsidRPr="0069032F">
        <w:rPr>
          <w:rFonts w:asciiTheme="minorHAnsi" w:hAnsiTheme="minorHAnsi" w:cstheme="minorHAnsi"/>
          <w:i/>
          <w:color w:val="44546A" w:themeColor="text2"/>
        </w:rPr>
        <w:br w:type="page"/>
      </w:r>
      <w:bookmarkStart w:id="0" w:name="_Toc456193188"/>
      <w:bookmarkStart w:id="1" w:name="_Hlk56233897"/>
      <w:bookmarkStart w:id="2" w:name="_Toc11232456"/>
      <w:bookmarkStart w:id="3" w:name="_Toc11232747"/>
      <w:bookmarkStart w:id="4" w:name="_Toc11757983"/>
      <w:bookmarkStart w:id="5" w:name="_Toc497144232"/>
    </w:p>
    <w:p w14:paraId="15C815D9" w14:textId="77777777" w:rsidR="008C676D" w:rsidRPr="0038629E" w:rsidRDefault="008C676D" w:rsidP="000C30EF">
      <w:pPr>
        <w:pStyle w:val="Antrat1"/>
      </w:pPr>
      <w:bookmarkStart w:id="6" w:name="_Toc105161217"/>
      <w:bookmarkStart w:id="7" w:name="_Toc78824503"/>
      <w:r w:rsidRPr="000C30EF">
        <w:lastRenderedPageBreak/>
        <w:t>APMOKESTINIMAS</w:t>
      </w:r>
      <w:bookmarkEnd w:id="6"/>
    </w:p>
    <w:p w14:paraId="37FAECA4" w14:textId="77777777" w:rsidR="008C676D" w:rsidRPr="0069032F" w:rsidRDefault="008C676D" w:rsidP="008C676D">
      <w:pPr>
        <w:tabs>
          <w:tab w:val="left" w:pos="6379"/>
        </w:tabs>
        <w:jc w:val="center"/>
        <w:rPr>
          <w:rFonts w:asciiTheme="minorHAnsi" w:hAnsiTheme="minorHAnsi" w:cstheme="minorHAnsi"/>
          <w:b/>
          <w:bCs/>
          <w:color w:val="002060"/>
        </w:rPr>
      </w:pPr>
    </w:p>
    <w:p w14:paraId="6AF73DC0" w14:textId="332B8774" w:rsidR="008B1BE6" w:rsidRPr="00FB6D88" w:rsidRDefault="008B1BE6" w:rsidP="00FB6D88">
      <w:pPr>
        <w:pStyle w:val="Antrat1"/>
      </w:pPr>
      <w:bookmarkStart w:id="8" w:name="_Toc105161218"/>
      <w:r w:rsidRPr="00B02203">
        <w:t xml:space="preserve">2021 m. liepos 1 d. sprendimas byloje </w:t>
      </w:r>
      <w:r w:rsidRPr="00BA40DC">
        <w:rPr>
          <w:i/>
          <w:iCs/>
        </w:rPr>
        <w:t>Tribunal Económico Administrativo Regional de Galicia</w:t>
      </w:r>
      <w:r w:rsidR="00FB6D88">
        <w:t xml:space="preserve">, </w:t>
      </w:r>
      <w:r w:rsidRPr="00FB6D88">
        <w:t>C</w:t>
      </w:r>
      <w:r w:rsidRPr="00FB6D88">
        <w:rPr>
          <w:rFonts w:ascii="Cambria Math" w:hAnsi="Cambria Math" w:cs="Cambria Math"/>
        </w:rPr>
        <w:t>‑</w:t>
      </w:r>
      <w:r w:rsidRPr="00FB6D88">
        <w:t>521/19</w:t>
      </w:r>
      <w:bookmarkEnd w:id="8"/>
    </w:p>
    <w:p w14:paraId="2A08D75A" w14:textId="77777777" w:rsidR="008B1BE6" w:rsidRPr="0069032F" w:rsidRDefault="008B1BE6" w:rsidP="008B1BE6">
      <w:pPr>
        <w:tabs>
          <w:tab w:val="left" w:pos="6379"/>
        </w:tabs>
        <w:ind w:firstLine="540"/>
        <w:rPr>
          <w:rFonts w:asciiTheme="minorHAnsi" w:hAnsiTheme="minorHAnsi" w:cstheme="minorHAnsi"/>
        </w:rPr>
      </w:pPr>
    </w:p>
    <w:p w14:paraId="303A610D"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Pridėtinės vertės mokestis (PVM) – Direktyva 2006/112/EB – Mokestinis patikrinimas – Paslaugų teikimas vykdant meno agento veiklą – PVM apmokestinami sandoriai – Mokesčių administratoriui nedeklaruoti sandoriai, dėl kurių neišrašyta sąskaita faktūra – Sukčiavimas – Pajamų mokesčio bazės nustatymas iš naujo – PVM neutralumo principas – PVM įtraukimas į iš naujo nustatytą mokesčio bazę</w:t>
      </w:r>
    </w:p>
    <w:p w14:paraId="4AAA02E5" w14:textId="77777777" w:rsidR="008B1BE6" w:rsidRPr="0069032F" w:rsidRDefault="008B1BE6" w:rsidP="008B1BE6">
      <w:pPr>
        <w:tabs>
          <w:tab w:val="left" w:pos="6379"/>
        </w:tabs>
        <w:rPr>
          <w:rFonts w:asciiTheme="minorHAnsi" w:hAnsiTheme="minorHAnsi" w:cstheme="minorHAnsi"/>
        </w:rPr>
      </w:pPr>
    </w:p>
    <w:p w14:paraId="773DD67E" w14:textId="77777777" w:rsidR="008B1BE6" w:rsidRPr="0069032F" w:rsidRDefault="008B1BE6" w:rsidP="008B1BE6">
      <w:pPr>
        <w:tabs>
          <w:tab w:val="left" w:pos="6379"/>
        </w:tabs>
        <w:jc w:val="center"/>
        <w:rPr>
          <w:rFonts w:asciiTheme="minorHAnsi" w:hAnsiTheme="minorHAnsi" w:cstheme="minorHAnsi"/>
          <w:b/>
          <w:bCs/>
        </w:rPr>
      </w:pPr>
      <w:r w:rsidRPr="0069032F">
        <w:rPr>
          <w:rFonts w:asciiTheme="minorHAnsi" w:hAnsiTheme="minorHAnsi" w:cstheme="minorHAnsi"/>
          <w:b/>
          <w:bCs/>
        </w:rPr>
        <w:t>Bylos aplinkybės</w:t>
      </w:r>
    </w:p>
    <w:p w14:paraId="1A5A8EAC" w14:textId="3D01FA67" w:rsidR="008B1BE6" w:rsidRPr="0069032F" w:rsidRDefault="008B1BE6" w:rsidP="008B1BE6">
      <w:pPr>
        <w:tabs>
          <w:tab w:val="left" w:pos="6379"/>
        </w:tabs>
        <w:ind w:firstLine="540"/>
        <w:rPr>
          <w:rFonts w:asciiTheme="minorHAnsi" w:hAnsiTheme="minorHAnsi" w:cstheme="minorHAnsi"/>
        </w:rPr>
      </w:pPr>
    </w:p>
    <w:p w14:paraId="1F20095E"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Prašymas priimti prejudicinį sprendimą pateiktas nagrinėjant CB (savarankiškai dirbančio asmens, vykdančio PVM apmokestinamą meno agento veiklą) ir Ispanijos mokesčių administratoriaus ginčą dėl jam skirtų mokėjimo nurodymų ir sankcijų perskaičiuojant fizinių asmenų pajamų mokestį už 2010–2012 m.</w:t>
      </w:r>
    </w:p>
    <w:p w14:paraId="2B142D6C"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CB teikė paslaugas grupei Lito – įmonių grupei, kuriai pavesta rūpintis infrastruktūra ir orkestrais per Galisijos (Ispanija) šventųjų globėjų ir kaimų šventes. Konkrečiai kalbant, CB susisiekdavo su švenčių komitetais, neformaliomis gyventojų grupėmis, atsakingomis už švenčių organizavimą, ir grupės Lito vardu derėdavosi dėl orkestrų pasirodymo. Šiuo pagrindu švenčių komitetai atliko mokėjimus Lito grupei grynaisiais; dėl jų nebuvo išrašytos sąskaitos faktūros ir jie nebuvo įtraukti į apskaitą. Todėl jie nebuvo deklaruoti mokesčių administratoriui nei dėl pelno mokesčio, nei dėl PVM.</w:t>
      </w:r>
    </w:p>
    <w:p w14:paraId="401F4CA5"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CB gavo 10 proc. Lito grupės pajamų. Jam atlikti mokėjimai taip pat buvo grynaisiais, jie nebuvo deklaruoti ir dėl jų nebuvo išrašoma jokios sąskaitos faktūros. CB nevykdė apskaitos ir nevedė oficialaus registro, neišrašydavo ir negaudavo sąskaitų faktūrų, todėl neteikė PVM deklaracijų.</w:t>
      </w:r>
    </w:p>
    <w:p w14:paraId="0BCC2991"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Po CB mokestinės padėties patikrinimo mokesčių administratorius nusprendė, kad į sumas, kurias jis gavo kaip atlygį už tarpininkavimo Lito grupei veiklą, nebuvo įtrauktas PVM, todėl su tais metais susijusio pajamų mokesčio bazė turėjo būti nustatyta atsižvelgiant į visas šias sumas. Remiantis pranešimais apie mokesčio dydį buvo apskaičiuotas pajamų mokestis ir CB buvo skirtos sankcijos.</w:t>
      </w:r>
    </w:p>
    <w:p w14:paraId="32634810" w14:textId="77777777" w:rsidR="008B1BE6" w:rsidRPr="0069032F" w:rsidRDefault="008B1BE6" w:rsidP="008B1BE6">
      <w:pPr>
        <w:tabs>
          <w:tab w:val="left" w:pos="6379"/>
        </w:tabs>
        <w:rPr>
          <w:rFonts w:asciiTheme="minorHAnsi" w:hAnsiTheme="minorHAnsi" w:cstheme="minorHAnsi"/>
        </w:rPr>
      </w:pPr>
    </w:p>
    <w:p w14:paraId="25D063FB" w14:textId="77777777" w:rsidR="008B1BE6" w:rsidRPr="0069032F" w:rsidRDefault="008B1BE6" w:rsidP="008B1BE6">
      <w:pPr>
        <w:tabs>
          <w:tab w:val="left" w:pos="6379"/>
        </w:tabs>
        <w:jc w:val="center"/>
        <w:rPr>
          <w:rFonts w:asciiTheme="minorHAnsi" w:hAnsiTheme="minorHAnsi" w:cstheme="minorHAnsi"/>
          <w:b/>
          <w:bCs/>
        </w:rPr>
      </w:pPr>
      <w:r w:rsidRPr="0069032F">
        <w:rPr>
          <w:rFonts w:asciiTheme="minorHAnsi" w:hAnsiTheme="minorHAnsi" w:cstheme="minorHAnsi"/>
          <w:b/>
          <w:bCs/>
        </w:rPr>
        <w:t>Teisingumo Teismo vertinimas</w:t>
      </w:r>
    </w:p>
    <w:p w14:paraId="469869AD" w14:textId="77777777" w:rsidR="008B1BE6" w:rsidRPr="0069032F" w:rsidRDefault="008B1BE6" w:rsidP="008B1BE6">
      <w:pPr>
        <w:tabs>
          <w:tab w:val="left" w:pos="6379"/>
        </w:tabs>
        <w:ind w:firstLine="540"/>
        <w:rPr>
          <w:rFonts w:asciiTheme="minorHAnsi" w:hAnsiTheme="minorHAnsi" w:cstheme="minorHAnsi"/>
        </w:rPr>
      </w:pPr>
    </w:p>
    <w:p w14:paraId="601AF55A" w14:textId="1A9E5D66" w:rsidR="008B1BE6" w:rsidRPr="0069032F" w:rsidRDefault="008B1BE6" w:rsidP="00FB6D88">
      <w:pPr>
        <w:pStyle w:val="Antrat3"/>
        <w:tabs>
          <w:tab w:val="clear" w:pos="567"/>
          <w:tab w:val="left" w:pos="426"/>
        </w:tabs>
        <w:ind w:firstLine="567"/>
      </w:pPr>
      <w:bookmarkStart w:id="9" w:name="_Toc105161219"/>
      <w:r w:rsidRPr="0069032F">
        <w:t>Dėl apmokestinamosios vertės, kai apmokestinamasis asmuo už suteiktas apmokestinamąsias paslaugas neišrašė sąskaitos faktūros ir sukčiaudamas nuslėpė pajam</w:t>
      </w:r>
      <w:r w:rsidR="00F35A55">
        <w:t>a</w:t>
      </w:r>
      <w:r w:rsidRPr="0069032F">
        <w:t>s nuo mokesčių administratoriaus</w:t>
      </w:r>
      <w:bookmarkEnd w:id="9"/>
    </w:p>
    <w:p w14:paraId="05435FEE" w14:textId="77777777" w:rsidR="008B1BE6" w:rsidRPr="00FF0FF7" w:rsidRDefault="008B1BE6" w:rsidP="00FF0FF7"/>
    <w:p w14:paraId="04C3E5F6"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Prejudiciniu klausimu nacionalinis teismas iš esmės siekė sužinoti, kaip, be kita ko, atsižvelgiant į neutralumo principą, reikia aiškinti Direktyvos 2006/112</w:t>
      </w:r>
      <w:r w:rsidRPr="0069032F">
        <w:rPr>
          <w:rStyle w:val="Puslapioinaosnuoroda"/>
          <w:rFonts w:asciiTheme="minorHAnsi" w:hAnsiTheme="minorHAnsi" w:cstheme="minorHAnsi"/>
        </w:rPr>
        <w:footnoteReference w:id="1"/>
      </w:r>
      <w:r w:rsidRPr="0069032F">
        <w:rPr>
          <w:rFonts w:asciiTheme="minorHAnsi" w:hAnsiTheme="minorHAnsi" w:cstheme="minorHAnsi"/>
        </w:rPr>
        <w:t xml:space="preserve"> 73 ir 78 straipsnius, susijusius su sandorio tarp apmokestinamųjų PVM asmenų apmokestinamosios vertės nustatymu, kai jie sukčiaudami nenurodė sandorio buvimo mokesčių administratoriui, neišrašė sąskaitos faktūros ir nenurodė iš šio sandorio gautų pajamų tiesioginių mokesčių deklaracijoje. Šis teismas klausė, ar tokiomis aplinkybėmis turi būti laikoma, kad į sumokėtas arba gautas sumas yra įskaičiuotas PVM. </w:t>
      </w:r>
    </w:p>
    <w:p w14:paraId="6A59C031"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 xml:space="preserve">Šiuo klausimu Teisingumo Teismas nurodė, kad Direktyva 2006/112, ypač jos 73 ir 78 straipsniai, siejami su PVM neutralumo principu, turi būti aiškinami taip, kad, </w:t>
      </w:r>
      <w:r w:rsidRPr="0069032F">
        <w:rPr>
          <w:rFonts w:asciiTheme="minorHAnsi" w:hAnsiTheme="minorHAnsi" w:cstheme="minorHAnsi"/>
          <w:u w:val="single"/>
        </w:rPr>
        <w:t>kai PVM apmokestinamieji asmenys sukčiaudami nenurodė sandorio buvimo mokesčių administratoriui, taip pat iš šio sandorio gautų pajamų tiesioginių mokesčių deklaracijoje ir neišrašė sąskaitos faktūros, per tokios deklaracijos patikrinimą mokesčių administratoriaus iš naujo nustatytos pervestos ir gautos sumos už nagrinėjamą sandorį turi būti laikomos kaina, į kurią jau įtrauktas PVM, bent jau tuo atveju, kai pagal nacionalinę teisę apmokestinamieji asmenys negali vėliau gauti aptariamo PVM ir jo atskaityti, nepaisant sukčiavimo</w:t>
      </w:r>
      <w:r w:rsidRPr="0069032F">
        <w:rPr>
          <w:rFonts w:asciiTheme="minorHAnsi" w:hAnsiTheme="minorHAnsi" w:cstheme="minorHAnsi"/>
        </w:rPr>
        <w:t>.</w:t>
      </w:r>
    </w:p>
    <w:p w14:paraId="102F0FFD" w14:textId="77777777" w:rsidR="008B1BE6" w:rsidRPr="0069032F" w:rsidRDefault="004D029A" w:rsidP="008B1BE6">
      <w:pPr>
        <w:tabs>
          <w:tab w:val="left" w:pos="6379"/>
        </w:tabs>
        <w:ind w:firstLine="540"/>
        <w:rPr>
          <w:rFonts w:asciiTheme="minorHAnsi" w:hAnsiTheme="minorHAnsi" w:cstheme="minorHAnsi"/>
        </w:rPr>
      </w:pPr>
      <w:hyperlink r:id="rId11" w:history="1">
        <w:r w:rsidR="008B1BE6" w:rsidRPr="0069032F">
          <w:rPr>
            <w:rStyle w:val="Hipersaitas"/>
            <w:rFonts w:asciiTheme="minorHAnsi" w:hAnsiTheme="minorHAnsi" w:cstheme="minorHAnsi"/>
          </w:rPr>
          <w:t>Prieiga internete</w:t>
        </w:r>
      </w:hyperlink>
    </w:p>
    <w:p w14:paraId="78851DDF" w14:textId="77777777" w:rsidR="008B1BE6" w:rsidRPr="0069032F" w:rsidRDefault="008B1BE6" w:rsidP="008B1BE6">
      <w:pPr>
        <w:tabs>
          <w:tab w:val="left" w:pos="6379"/>
        </w:tabs>
        <w:ind w:firstLine="540"/>
        <w:rPr>
          <w:rFonts w:asciiTheme="minorHAnsi" w:hAnsiTheme="minorHAnsi" w:cstheme="minorHAnsi"/>
        </w:rPr>
      </w:pPr>
    </w:p>
    <w:p w14:paraId="30551C02" w14:textId="32A6E2C7" w:rsidR="008C676D" w:rsidRPr="0069032F" w:rsidRDefault="008C676D" w:rsidP="00FB6D88">
      <w:pPr>
        <w:pStyle w:val="Antrat1"/>
      </w:pPr>
      <w:bookmarkStart w:id="10" w:name="_Toc105161220"/>
      <w:r w:rsidRPr="0069032F">
        <w:t xml:space="preserve">2021 m. spalio 21 d. sprendimas byloje </w:t>
      </w:r>
      <w:r w:rsidRPr="0069032F">
        <w:rPr>
          <w:i/>
          <w:iCs/>
        </w:rPr>
        <w:t>CHEP Equipment Pooling</w:t>
      </w:r>
      <w:r w:rsidR="00FB6D88">
        <w:t xml:space="preserve">, </w:t>
      </w:r>
      <w:r w:rsidRPr="0069032F">
        <w:t>C</w:t>
      </w:r>
      <w:r w:rsidRPr="0069032F">
        <w:rPr>
          <w:rFonts w:ascii="Cambria Math" w:hAnsi="Cambria Math" w:cs="Cambria Math"/>
        </w:rPr>
        <w:t>‑</w:t>
      </w:r>
      <w:r w:rsidRPr="0069032F">
        <w:t>396/20</w:t>
      </w:r>
      <w:bookmarkEnd w:id="10"/>
    </w:p>
    <w:p w14:paraId="4C2036B1" w14:textId="77777777" w:rsidR="008C676D" w:rsidRPr="0069032F" w:rsidRDefault="008C676D" w:rsidP="008C676D">
      <w:pPr>
        <w:tabs>
          <w:tab w:val="left" w:pos="6379"/>
        </w:tabs>
        <w:ind w:firstLine="540"/>
        <w:rPr>
          <w:rFonts w:asciiTheme="minorHAnsi" w:hAnsiTheme="minorHAnsi" w:cstheme="minorHAnsi"/>
        </w:rPr>
      </w:pPr>
    </w:p>
    <w:p w14:paraId="0ADF0676" w14:textId="77777777" w:rsidR="008C676D" w:rsidRPr="0069032F" w:rsidRDefault="008C676D" w:rsidP="008C676D">
      <w:pPr>
        <w:tabs>
          <w:tab w:val="left" w:pos="6379"/>
        </w:tabs>
        <w:ind w:firstLine="540"/>
        <w:rPr>
          <w:rFonts w:asciiTheme="minorHAnsi" w:hAnsiTheme="minorHAnsi" w:cstheme="minorHAnsi"/>
        </w:rPr>
      </w:pPr>
      <w:r w:rsidRPr="0069032F">
        <w:rPr>
          <w:rFonts w:asciiTheme="minorHAnsi" w:hAnsiTheme="minorHAnsi" w:cstheme="minorHAnsi"/>
        </w:rPr>
        <w:lastRenderedPageBreak/>
        <w:t>Pridėtinės vertės mokestis (PVM) – PVM grąžinimo apmokestinamiesiems asmenims, kurie nėra įsisteigę mokestį grąžinančioje valstybėje narėje, tvarka – Direktyva 2008/9/EB – 20 straipsnio 1 dalis – Mokestį grąžinančios valstybės narės prašymas pateikti papildomos informacijos – Prašyme grąžinti mokestį ir pateiktose sąskaitose faktūrose nurodytų sumų neatitikimas – Gero administravimo principas – PVM neutralumo principas –Apmokestinamojo asmens klaidos ištaisymo pasekmės</w:t>
      </w:r>
    </w:p>
    <w:p w14:paraId="29078E66" w14:textId="77777777" w:rsidR="008C676D" w:rsidRPr="0069032F" w:rsidRDefault="008C676D" w:rsidP="008C676D">
      <w:pPr>
        <w:tabs>
          <w:tab w:val="left" w:pos="6379"/>
        </w:tabs>
        <w:jc w:val="center"/>
        <w:rPr>
          <w:rFonts w:asciiTheme="minorHAnsi" w:hAnsiTheme="minorHAnsi" w:cstheme="minorHAnsi"/>
          <w:b/>
          <w:bCs/>
        </w:rPr>
      </w:pPr>
    </w:p>
    <w:p w14:paraId="21EE9501" w14:textId="77777777" w:rsidR="008C676D" w:rsidRPr="0069032F" w:rsidRDefault="008C676D" w:rsidP="008C676D">
      <w:pPr>
        <w:tabs>
          <w:tab w:val="left" w:pos="6379"/>
        </w:tabs>
        <w:jc w:val="center"/>
        <w:rPr>
          <w:rFonts w:asciiTheme="minorHAnsi" w:hAnsiTheme="minorHAnsi" w:cstheme="minorHAnsi"/>
          <w:b/>
          <w:bCs/>
        </w:rPr>
      </w:pPr>
      <w:r w:rsidRPr="0069032F">
        <w:rPr>
          <w:rFonts w:asciiTheme="minorHAnsi" w:hAnsiTheme="minorHAnsi" w:cstheme="minorHAnsi"/>
          <w:b/>
          <w:bCs/>
        </w:rPr>
        <w:t>Bylos aplinkybės</w:t>
      </w:r>
    </w:p>
    <w:p w14:paraId="58D718CF" w14:textId="77777777" w:rsidR="008C676D" w:rsidRPr="0069032F" w:rsidRDefault="008C676D" w:rsidP="008C676D">
      <w:pPr>
        <w:tabs>
          <w:tab w:val="left" w:pos="6379"/>
        </w:tabs>
        <w:ind w:firstLine="540"/>
        <w:rPr>
          <w:rFonts w:asciiTheme="minorHAnsi" w:hAnsiTheme="minorHAnsi" w:cstheme="minorHAnsi"/>
        </w:rPr>
      </w:pPr>
    </w:p>
    <w:p w14:paraId="4EDFA80C" w14:textId="77777777" w:rsidR="008C676D" w:rsidRPr="0069032F" w:rsidRDefault="008C676D" w:rsidP="008C676D">
      <w:pPr>
        <w:tabs>
          <w:tab w:val="left" w:pos="6379"/>
        </w:tabs>
        <w:ind w:firstLine="540"/>
        <w:rPr>
          <w:rFonts w:asciiTheme="minorHAnsi" w:hAnsiTheme="minorHAnsi" w:cstheme="minorHAnsi"/>
        </w:rPr>
      </w:pPr>
      <w:r w:rsidRPr="0069032F">
        <w:rPr>
          <w:rFonts w:asciiTheme="minorHAnsi" w:hAnsiTheme="minorHAnsi" w:cstheme="minorHAnsi"/>
        </w:rPr>
        <w:t>Prašymas priimti prejudicinį sprendimą pateiktas nagrinėjant Belgijos bendrovės ir Vengrijos mokesčių administratoriaus ginčą dėl pastarojo sprendimo patenkinti tik dalį prašymo grąžinti PVM.</w:t>
      </w:r>
    </w:p>
    <w:p w14:paraId="753EAEF2" w14:textId="0ABB4B29" w:rsidR="008C676D" w:rsidRPr="0069032F" w:rsidRDefault="008C676D" w:rsidP="008C676D">
      <w:pPr>
        <w:tabs>
          <w:tab w:val="left" w:pos="6379"/>
        </w:tabs>
        <w:ind w:firstLine="540"/>
        <w:rPr>
          <w:rFonts w:asciiTheme="minorHAnsi" w:hAnsiTheme="minorHAnsi" w:cstheme="minorHAnsi"/>
        </w:rPr>
      </w:pPr>
      <w:r w:rsidRPr="0069032F">
        <w:rPr>
          <w:rFonts w:asciiTheme="minorHAnsi" w:hAnsiTheme="minorHAnsi" w:cstheme="minorHAnsi"/>
        </w:rPr>
        <w:t>Belgijos bendrovė Vengrijoje įsigijo paletes ir, kaip PVM mokėtoja Belgijoje, Vengrijos valdžios institucijoms pateikė prašymą grąžinti pirkimo PVM – pateiktame dokumente buvo lentelė su išvardytomis sąskaitomis faktūromis ir prašomomis grąžinti sumomis, taip pat pateiktos ir šiame dokumente nurodytos sąskaitos faktūros. Atlikęs patikrinimą bei gavęs iš Belgijos bendrovės papildomus duomenis, mokesčių administratorius prašymą grąžinti pirkimo PVM tenkino iš dalies – atsisakė grąžinti dalį sumų. Konkrečiai; (1)</w:t>
      </w:r>
      <w:r w:rsidR="00E0354B">
        <w:rPr>
          <w:rFonts w:asciiTheme="minorHAnsi" w:hAnsiTheme="minorHAnsi" w:cstheme="minorHAnsi"/>
        </w:rPr>
        <w:t xml:space="preserve"> </w:t>
      </w:r>
      <w:r w:rsidRPr="0069032F">
        <w:rPr>
          <w:rFonts w:asciiTheme="minorHAnsi" w:hAnsiTheme="minorHAnsi" w:cstheme="minorHAnsi"/>
        </w:rPr>
        <w:t>atsisakė patenkinti prašymus, pagal kuriuos jau buvo grąžintas mokestis; (2) kiek tai susiję su prašymais, kurių PVM suma viršijo nurodytą atitinkamoje sąskaitoje faktūroje, grąžino tik sąskaitoje faktūroje nurodytą sumą; (3) kiek tai susiję su prašymais, kurių PVM suma buvo mažesnė nei atitinkamoje sąskaitoje faktūroje nurodytoji, ji grąžino tik sumą, įrašytą į prašymą grąžinti mokestį.</w:t>
      </w:r>
    </w:p>
    <w:p w14:paraId="00CA6AE9" w14:textId="77777777" w:rsidR="008C676D" w:rsidRPr="0069032F" w:rsidRDefault="008C676D" w:rsidP="008C676D">
      <w:pPr>
        <w:tabs>
          <w:tab w:val="left" w:pos="6379"/>
        </w:tabs>
        <w:ind w:firstLine="540"/>
        <w:rPr>
          <w:rFonts w:asciiTheme="minorHAnsi" w:hAnsiTheme="minorHAnsi" w:cstheme="minorHAnsi"/>
        </w:rPr>
      </w:pPr>
      <w:r w:rsidRPr="0069032F">
        <w:rPr>
          <w:rFonts w:asciiTheme="minorHAnsi" w:hAnsiTheme="minorHAnsi" w:cstheme="minorHAnsi"/>
        </w:rPr>
        <w:t>Dėl pastarosios sprendimo dalies Belgijos bendrovė pateikė skundą.</w:t>
      </w:r>
    </w:p>
    <w:p w14:paraId="70741CD2" w14:textId="77777777" w:rsidR="008C676D" w:rsidRPr="0069032F" w:rsidRDefault="008C676D" w:rsidP="008C676D">
      <w:pPr>
        <w:tabs>
          <w:tab w:val="left" w:pos="6379"/>
        </w:tabs>
        <w:rPr>
          <w:rFonts w:asciiTheme="minorHAnsi" w:hAnsiTheme="minorHAnsi" w:cstheme="minorHAnsi"/>
        </w:rPr>
      </w:pPr>
    </w:p>
    <w:p w14:paraId="31829CA0" w14:textId="77777777" w:rsidR="008C676D" w:rsidRPr="0069032F" w:rsidRDefault="008C676D" w:rsidP="008C676D">
      <w:pPr>
        <w:tabs>
          <w:tab w:val="left" w:pos="6379"/>
        </w:tabs>
        <w:jc w:val="center"/>
        <w:rPr>
          <w:rFonts w:asciiTheme="minorHAnsi" w:hAnsiTheme="minorHAnsi" w:cstheme="minorHAnsi"/>
          <w:b/>
          <w:bCs/>
        </w:rPr>
      </w:pPr>
      <w:r w:rsidRPr="0069032F">
        <w:rPr>
          <w:rFonts w:asciiTheme="minorHAnsi" w:hAnsiTheme="minorHAnsi" w:cstheme="minorHAnsi"/>
          <w:b/>
          <w:bCs/>
        </w:rPr>
        <w:t>Teisingumo Teismo vertinimas</w:t>
      </w:r>
    </w:p>
    <w:p w14:paraId="7ABF808F" w14:textId="77777777" w:rsidR="008C676D" w:rsidRPr="0069032F" w:rsidRDefault="008C676D" w:rsidP="008C676D">
      <w:pPr>
        <w:tabs>
          <w:tab w:val="left" w:pos="6379"/>
        </w:tabs>
        <w:jc w:val="center"/>
        <w:rPr>
          <w:rFonts w:asciiTheme="minorHAnsi" w:hAnsiTheme="minorHAnsi" w:cstheme="minorHAnsi"/>
        </w:rPr>
      </w:pPr>
    </w:p>
    <w:p w14:paraId="1FB3F75F" w14:textId="2954CF59" w:rsidR="008C676D" w:rsidRPr="00FB6D88" w:rsidRDefault="008C676D" w:rsidP="00FB6D88">
      <w:pPr>
        <w:pStyle w:val="Antrat3"/>
        <w:tabs>
          <w:tab w:val="clear" w:pos="567"/>
          <w:tab w:val="left" w:pos="426"/>
        </w:tabs>
        <w:ind w:firstLine="567"/>
      </w:pPr>
      <w:bookmarkStart w:id="11" w:name="_Toc105161221"/>
      <w:r w:rsidRPr="00FB6D88">
        <w:t>Dėl mokesčių administratoriaus pareigos pasiūlyti patikslinti prašymą, kai prašoma grąžinti pirkimo PVM suma yra mažesnė nei nurodyta PV</w:t>
      </w:r>
      <w:r w:rsidR="008A3A30">
        <w:t>M</w:t>
      </w:r>
      <w:r w:rsidRPr="00FB6D88">
        <w:t xml:space="preserve"> sąskaitoje faktūroje</w:t>
      </w:r>
      <w:bookmarkEnd w:id="11"/>
    </w:p>
    <w:p w14:paraId="5625B015" w14:textId="77777777" w:rsidR="008C676D" w:rsidRPr="0069032F" w:rsidRDefault="008C676D" w:rsidP="008C676D">
      <w:pPr>
        <w:tabs>
          <w:tab w:val="left" w:pos="6379"/>
        </w:tabs>
        <w:ind w:firstLine="540"/>
        <w:rPr>
          <w:rFonts w:asciiTheme="minorHAnsi" w:hAnsiTheme="minorHAnsi" w:cstheme="minorHAnsi"/>
        </w:rPr>
      </w:pPr>
    </w:p>
    <w:p w14:paraId="7EE0F4C9" w14:textId="77777777" w:rsidR="008C676D" w:rsidRPr="0069032F" w:rsidRDefault="008C676D" w:rsidP="008C676D">
      <w:pPr>
        <w:tabs>
          <w:tab w:val="left" w:pos="6379"/>
        </w:tabs>
        <w:ind w:firstLine="540"/>
        <w:rPr>
          <w:rFonts w:asciiTheme="minorHAnsi" w:hAnsiTheme="minorHAnsi" w:cstheme="minorHAnsi"/>
        </w:rPr>
      </w:pPr>
      <w:r w:rsidRPr="0069032F">
        <w:rPr>
          <w:rFonts w:asciiTheme="minorHAnsi" w:hAnsiTheme="minorHAnsi" w:cstheme="minorHAnsi"/>
        </w:rPr>
        <w:t>Nacionalinis teismas iš esmės siekė išsiaiškinti, ar Direktyvos 2008/9</w:t>
      </w:r>
      <w:r w:rsidRPr="0069032F">
        <w:rPr>
          <w:rStyle w:val="Puslapioinaosnuoroda"/>
          <w:rFonts w:asciiTheme="minorHAnsi" w:hAnsiTheme="minorHAnsi" w:cstheme="minorHAnsi"/>
        </w:rPr>
        <w:footnoteReference w:id="2"/>
      </w:r>
      <w:r w:rsidRPr="0069032F">
        <w:rPr>
          <w:rFonts w:asciiTheme="minorHAnsi" w:hAnsiTheme="minorHAnsi" w:cstheme="minorHAnsi"/>
        </w:rPr>
        <w:t xml:space="preserve"> 20 straipsnio 1 dalis</w:t>
      </w:r>
      <w:r w:rsidRPr="0069032F">
        <w:rPr>
          <w:rStyle w:val="Puslapioinaosnuoroda"/>
          <w:rFonts w:asciiTheme="minorHAnsi" w:hAnsiTheme="minorHAnsi" w:cstheme="minorHAnsi"/>
        </w:rPr>
        <w:footnoteReference w:id="3"/>
      </w:r>
      <w:r w:rsidRPr="0069032F">
        <w:rPr>
          <w:rFonts w:asciiTheme="minorHAnsi" w:hAnsiTheme="minorHAnsi" w:cstheme="minorHAnsi"/>
        </w:rPr>
        <w:t xml:space="preserve"> turi būti aiškinama taip, kad pagal ją valstybės narės, kurioje kitoje valstybėje narėje įsisteigęs apmokestinamasis asmuo pateikė prašymą grąžinti PVM, mokesčių administratoriui draudžiama manyti, kad jis turi pakankamai informacijos sprendimui dėl minėto prašymo priimti, neprašydamas šio apmokestinamojo asmens pateikti papildomos informacijos.</w:t>
      </w:r>
    </w:p>
    <w:p w14:paraId="171BB716" w14:textId="77777777" w:rsidR="008C676D" w:rsidRPr="0069032F" w:rsidRDefault="008C676D" w:rsidP="008C676D">
      <w:pPr>
        <w:tabs>
          <w:tab w:val="left" w:pos="6379"/>
        </w:tabs>
        <w:ind w:firstLine="540"/>
        <w:rPr>
          <w:rFonts w:asciiTheme="minorHAnsi" w:hAnsiTheme="minorHAnsi" w:cstheme="minorHAnsi"/>
        </w:rPr>
      </w:pPr>
      <w:r w:rsidRPr="0069032F">
        <w:rPr>
          <w:rFonts w:asciiTheme="minorHAnsi" w:hAnsiTheme="minorHAnsi" w:cstheme="minorHAnsi"/>
        </w:rPr>
        <w:t>Nagrinėtu atveju atsisakymas grąžinti didesnes nei prašyme nurodytas sumas buvo susijęs su tuo, kad mokesčių administratorius manė privalantis sumokėti PVM, nurodytą prašyme grąžinti mokestį, ir nenorėjo grąžinti daugiau, nei nurodyta suma, net jei sąskaitose faktūrose įrašyto PVM suma galėjo reikšti teisę į didesnės sumos grąžinimą.</w:t>
      </w:r>
    </w:p>
    <w:p w14:paraId="1D4B8868" w14:textId="77777777" w:rsidR="008C676D" w:rsidRPr="0069032F" w:rsidRDefault="008C676D" w:rsidP="008C676D">
      <w:pPr>
        <w:tabs>
          <w:tab w:val="left" w:pos="6379"/>
        </w:tabs>
        <w:ind w:firstLine="540"/>
        <w:rPr>
          <w:rFonts w:asciiTheme="minorHAnsi" w:hAnsiTheme="minorHAnsi" w:cstheme="minorHAnsi"/>
        </w:rPr>
      </w:pPr>
      <w:r w:rsidRPr="0069032F">
        <w:rPr>
          <w:rFonts w:asciiTheme="minorHAnsi" w:hAnsiTheme="minorHAnsi" w:cstheme="minorHAnsi"/>
        </w:rPr>
        <w:t>Šiuo aspektu Teisingumo Teismas priminė, kad apmokestinamasis asmuo gali geriausiai žinoti sandorių, dėl kurių jis pateikia prašymą grąžinti PVM, realumą, todėl bent jau iš dalies turi atsakyti už savo paties administracinio elgesio pasekmes (jį riboja, be kita ko, jo išrašomose sąskaitose faktūrose daromi įrašai). Vis dėlto, kai valstybė narė įgyvendina Sąjungos teisę, reikalavimai, kylantys iš teisės į gerą administravimą ir kiekvieno asmens teisė į tai, kad jo reikalai būtų tvarkomi nešališkai per pagrįstą terminą, turi būti taikomi per mokesčių patikrinimo procedūrą. Pagal šį gero administravimo principą reikalaujama, kad administracinė institucija, vykdydama jai tenkančią pareigą atlikti patikrinimą, kruopščiai ir nešališkai išnagrinėtų visus reikšmingus aspektus, kad įsitikintų, jog priimdama sprendimą turi kuo išsamesnių ir patikimesnių įrodymų, kad tai padarytų.</w:t>
      </w:r>
    </w:p>
    <w:p w14:paraId="75BCC735" w14:textId="77777777" w:rsidR="008C676D" w:rsidRPr="0069032F" w:rsidRDefault="008C676D" w:rsidP="008C676D">
      <w:pPr>
        <w:tabs>
          <w:tab w:val="left" w:pos="6379"/>
        </w:tabs>
        <w:ind w:firstLine="540"/>
        <w:rPr>
          <w:rFonts w:asciiTheme="minorHAnsi" w:hAnsiTheme="minorHAnsi" w:cstheme="minorHAnsi"/>
        </w:rPr>
      </w:pPr>
      <w:r w:rsidRPr="0069032F">
        <w:rPr>
          <w:rFonts w:asciiTheme="minorHAnsi" w:hAnsiTheme="minorHAnsi" w:cstheme="minorHAnsi"/>
        </w:rPr>
        <w:lastRenderedPageBreak/>
        <w:t xml:space="preserve">Taigi, jei tinkamai nustatęs apmokestinamojo asmens klaidą atitinkamas mokesčių administratorius gali tiksliai apskaičiuoti grąžintiną PVM sumą, gero administravimo principas reikalauja, kad jis, kaip mano, tinkamiausiomis priemonėmis apie tai rūpestingai informuotų apmokestinamąjį asmenį ir nurodytų ištaisyti prašymą grąžinti mokestį, kad galėtų patenkinti šį prašymą. Atitinkamai Teisingumo Teismas konstatavo, kad Direktyvos 2008/9 20 straipsnio 1 dalis, siejama su mokesčių neutralumo ir gero administravimo principais, turi būti aiškinama taip, kad </w:t>
      </w:r>
      <w:r w:rsidRPr="0069032F">
        <w:rPr>
          <w:rFonts w:asciiTheme="minorHAnsi" w:hAnsiTheme="minorHAnsi" w:cstheme="minorHAnsi"/>
          <w:u w:val="single"/>
        </w:rPr>
        <w:t xml:space="preserve">jei mokestį grąžinančios valstybės narės mokesčių administratorius, prireikus atsižvelgdamas į apmokestinamojo asmens pateiktą papildomą informaciją, įsitikina, kad iš tikrųjų sumokėta pirkimo PVM suma, kokia nurodyta prie prašymo grąžinti mokestį pateiktoje sąskaitoje faktūroje, yra didesnė nei nurodytoji šiame prašyme, šiam administratoriui draudžiama grąžinti tik pastarosios sumos dydžio PVM, prieš tai rūpestingai ir, kaip mano, tinkamiausiomis priemonėmis nenurodžius apmokestinamajam asmeniui ištaisyti prašymą grąžinti mokestį kitu prašymu, kuris laikomas pateiktu pirminio prašymo pateikimo </w:t>
      </w:r>
      <w:r w:rsidRPr="008A3A30">
        <w:rPr>
          <w:rFonts w:asciiTheme="minorHAnsi" w:hAnsiTheme="minorHAnsi" w:cstheme="minorHAnsi"/>
          <w:u w:val="single"/>
        </w:rPr>
        <w:t>dieną.</w:t>
      </w:r>
    </w:p>
    <w:p w14:paraId="66333CC1" w14:textId="011E75C8" w:rsidR="008C676D" w:rsidRPr="0069032F" w:rsidRDefault="004D029A" w:rsidP="008C676D">
      <w:pPr>
        <w:tabs>
          <w:tab w:val="left" w:pos="6379"/>
        </w:tabs>
        <w:ind w:firstLine="540"/>
        <w:rPr>
          <w:rStyle w:val="Hipersaitas"/>
          <w:rFonts w:asciiTheme="minorHAnsi" w:hAnsiTheme="minorHAnsi" w:cstheme="minorHAnsi"/>
        </w:rPr>
      </w:pPr>
      <w:hyperlink r:id="rId12" w:history="1">
        <w:r w:rsidR="008C676D" w:rsidRPr="0069032F">
          <w:rPr>
            <w:rStyle w:val="Hipersaitas"/>
            <w:rFonts w:asciiTheme="minorHAnsi" w:hAnsiTheme="minorHAnsi" w:cstheme="minorHAnsi"/>
          </w:rPr>
          <w:t>Prieiga internete</w:t>
        </w:r>
      </w:hyperlink>
    </w:p>
    <w:p w14:paraId="089921E5" w14:textId="75B6166C" w:rsidR="008B1BE6" w:rsidRPr="0069032F" w:rsidRDefault="008B1BE6" w:rsidP="008C676D">
      <w:pPr>
        <w:tabs>
          <w:tab w:val="left" w:pos="6379"/>
        </w:tabs>
        <w:ind w:firstLine="540"/>
        <w:rPr>
          <w:rStyle w:val="Hipersaitas"/>
          <w:rFonts w:asciiTheme="minorHAnsi" w:hAnsiTheme="minorHAnsi" w:cstheme="minorHAnsi"/>
        </w:rPr>
      </w:pPr>
    </w:p>
    <w:p w14:paraId="0A75EB1D" w14:textId="2004D10D" w:rsidR="008B1BE6" w:rsidRPr="0069032F" w:rsidRDefault="008B1BE6" w:rsidP="00FB6D88">
      <w:pPr>
        <w:pStyle w:val="Antrat1"/>
      </w:pPr>
      <w:bookmarkStart w:id="12" w:name="_Toc105161222"/>
      <w:r w:rsidRPr="0069032F">
        <w:t xml:space="preserve">2021 m. lapkričio 11 d. sprendimas byloje </w:t>
      </w:r>
      <w:r w:rsidRPr="0069032F">
        <w:rPr>
          <w:i/>
          <w:iCs/>
        </w:rPr>
        <w:t>Ferimet</w:t>
      </w:r>
      <w:r w:rsidR="00FB6D88">
        <w:t xml:space="preserve">, </w:t>
      </w:r>
      <w:r w:rsidRPr="0069032F">
        <w:t>C</w:t>
      </w:r>
      <w:r w:rsidRPr="0069032F">
        <w:rPr>
          <w:rFonts w:ascii="Cambria Math" w:hAnsi="Cambria Math" w:cs="Cambria Math"/>
        </w:rPr>
        <w:t>‑</w:t>
      </w:r>
      <w:r w:rsidRPr="0069032F">
        <w:t>281/20</w:t>
      </w:r>
      <w:bookmarkEnd w:id="12"/>
    </w:p>
    <w:p w14:paraId="68C97220" w14:textId="77777777" w:rsidR="008B1BE6" w:rsidRPr="0069032F" w:rsidRDefault="008B1BE6" w:rsidP="008B1BE6">
      <w:pPr>
        <w:tabs>
          <w:tab w:val="left" w:pos="6379"/>
        </w:tabs>
        <w:ind w:firstLine="540"/>
        <w:rPr>
          <w:rFonts w:asciiTheme="minorHAnsi" w:hAnsiTheme="minorHAnsi" w:cstheme="minorHAnsi"/>
        </w:rPr>
      </w:pPr>
    </w:p>
    <w:p w14:paraId="132C377B" w14:textId="5689F7B3"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Pridėtinės vertės mokestis (PVM) – Direktyva 2006/112/EB – 168 straipsnis – Teisė į atskaitą – 199</w:t>
      </w:r>
      <w:r w:rsidR="009E1656">
        <w:rPr>
          <w:rFonts w:asciiTheme="minorHAnsi" w:hAnsiTheme="minorHAnsi" w:cstheme="minorHAnsi"/>
        </w:rPr>
        <w:t> </w:t>
      </w:r>
      <w:r w:rsidRPr="0069032F">
        <w:rPr>
          <w:rFonts w:asciiTheme="minorHAnsi" w:hAnsiTheme="minorHAnsi" w:cstheme="minorHAnsi"/>
        </w:rPr>
        <w:t>straipsnis – Atvirkštinio apmokestinimo sistema – Mokesčių neutralumo principas – Materialinės teisės į atskaitą sąlygos – Tiekėjo, kaip apmokestinamojo asmens, statusas – Įrodinėjimo pareiga – Sukčiavimas – Piktnaudžiavimas – Sąskaita faktūra, kurioje nurodytas fiktyvus tiekėjas</w:t>
      </w:r>
    </w:p>
    <w:p w14:paraId="225914D8" w14:textId="77777777" w:rsidR="008B1BE6" w:rsidRPr="0069032F" w:rsidRDefault="008B1BE6" w:rsidP="008B1BE6">
      <w:pPr>
        <w:tabs>
          <w:tab w:val="left" w:pos="6379"/>
        </w:tabs>
        <w:rPr>
          <w:rFonts w:asciiTheme="minorHAnsi" w:hAnsiTheme="minorHAnsi" w:cstheme="minorHAnsi"/>
        </w:rPr>
      </w:pPr>
    </w:p>
    <w:p w14:paraId="4E816DEC" w14:textId="77777777" w:rsidR="008B1BE6" w:rsidRPr="0069032F" w:rsidRDefault="008B1BE6" w:rsidP="008B1BE6">
      <w:pPr>
        <w:tabs>
          <w:tab w:val="left" w:pos="6379"/>
        </w:tabs>
        <w:jc w:val="center"/>
        <w:rPr>
          <w:rFonts w:asciiTheme="minorHAnsi" w:hAnsiTheme="minorHAnsi" w:cstheme="minorHAnsi"/>
          <w:b/>
          <w:bCs/>
        </w:rPr>
      </w:pPr>
      <w:r w:rsidRPr="0069032F">
        <w:rPr>
          <w:rFonts w:asciiTheme="minorHAnsi" w:hAnsiTheme="minorHAnsi" w:cstheme="minorHAnsi"/>
          <w:b/>
          <w:bCs/>
        </w:rPr>
        <w:t>Bylos aplinkybės</w:t>
      </w:r>
    </w:p>
    <w:p w14:paraId="5662CD33" w14:textId="77777777" w:rsidR="008B1BE6" w:rsidRPr="0069032F" w:rsidRDefault="008B1BE6" w:rsidP="008B1BE6">
      <w:pPr>
        <w:tabs>
          <w:tab w:val="left" w:pos="6379"/>
        </w:tabs>
        <w:rPr>
          <w:rFonts w:asciiTheme="minorHAnsi" w:hAnsiTheme="minorHAnsi" w:cstheme="minorHAnsi"/>
        </w:rPr>
      </w:pPr>
    </w:p>
    <w:p w14:paraId="27670EE5"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Prašymas priimti prejudicinį sprendimą pateiktas nagrinėjant Ferimet SL ir Ispanijos mokesčių administratoriaus ginčą dėl teisės į PVM už 2008 m. patiektas perdirbamas medžiagas atskaitą.</w:t>
      </w:r>
    </w:p>
    <w:p w14:paraId="37B33A36"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Ferimet deklaravo, kad 2008 m. iš bendrovės Reciclatges de Terra Alta įsigijo perdirbamų medžiagų (metalo laužo), nurodydama, kad sandoriui taikoma atvirkštinio apmokestinimo PVM sistema ir išrašydama atitinkamą sąskaitą faktūrą.</w:t>
      </w:r>
    </w:p>
    <w:p w14:paraId="71CD0D58" w14:textId="6550CA9B"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Per patikrinimą mokesčių administratorius, be kita ko, konstatavo, kad sąskaitoje faktūroje nurodytas šių medžiagų tiekėjas iš tiesų neturėjo materialinių ir žmogiškųjų išteklių, reikalingų šioms medžiagoms pristatyti, ir kad Ferimet išrašytos sąskaitos faktūros buvo klaidingos. Mokesčių administratorius nurodė, kad, nors medžiagos buvo neabejotinai pristatytos, aptariamas sandoris buvo apsimestinis, nes tikrasis tiekėjas buvo sąmoningai nuslėptas. Dėl šių priežasčių šis viešojo administravimo subjektas</w:t>
      </w:r>
      <w:r w:rsidR="00E0354B">
        <w:rPr>
          <w:rFonts w:asciiTheme="minorHAnsi" w:hAnsiTheme="minorHAnsi" w:cstheme="minorHAnsi"/>
        </w:rPr>
        <w:t xml:space="preserve"> </w:t>
      </w:r>
      <w:r w:rsidRPr="0069032F">
        <w:rPr>
          <w:rFonts w:asciiTheme="minorHAnsi" w:hAnsiTheme="minorHAnsi" w:cstheme="minorHAnsi"/>
        </w:rPr>
        <w:t>nusprendė, kad nebuvo pagrindo atskaityti su šiuo sandoriu susijusio PVM.</w:t>
      </w:r>
    </w:p>
    <w:p w14:paraId="6285E01A" w14:textId="77777777" w:rsidR="008B1BE6" w:rsidRPr="0069032F" w:rsidRDefault="008B1BE6" w:rsidP="008B1BE6">
      <w:pPr>
        <w:tabs>
          <w:tab w:val="left" w:pos="6379"/>
        </w:tabs>
        <w:rPr>
          <w:rFonts w:asciiTheme="minorHAnsi" w:hAnsiTheme="minorHAnsi" w:cstheme="minorHAnsi"/>
        </w:rPr>
      </w:pPr>
    </w:p>
    <w:p w14:paraId="44F33E74" w14:textId="77777777" w:rsidR="008B1BE6" w:rsidRPr="0069032F" w:rsidRDefault="008B1BE6" w:rsidP="008B1BE6">
      <w:pPr>
        <w:tabs>
          <w:tab w:val="left" w:pos="6379"/>
        </w:tabs>
        <w:jc w:val="center"/>
        <w:rPr>
          <w:rFonts w:asciiTheme="minorHAnsi" w:hAnsiTheme="minorHAnsi" w:cstheme="minorHAnsi"/>
          <w:b/>
          <w:bCs/>
        </w:rPr>
      </w:pPr>
      <w:r w:rsidRPr="0069032F">
        <w:rPr>
          <w:rFonts w:asciiTheme="minorHAnsi" w:hAnsiTheme="minorHAnsi" w:cstheme="minorHAnsi"/>
          <w:b/>
          <w:bCs/>
        </w:rPr>
        <w:t>Teisingumo Teismo vertinimas</w:t>
      </w:r>
    </w:p>
    <w:p w14:paraId="42AFCF64" w14:textId="77777777" w:rsidR="008B1BE6" w:rsidRPr="0069032F" w:rsidRDefault="008B1BE6" w:rsidP="008B1BE6">
      <w:pPr>
        <w:tabs>
          <w:tab w:val="left" w:pos="6379"/>
        </w:tabs>
        <w:ind w:firstLine="540"/>
        <w:rPr>
          <w:rFonts w:asciiTheme="minorHAnsi" w:hAnsiTheme="minorHAnsi" w:cstheme="minorHAnsi"/>
        </w:rPr>
      </w:pPr>
    </w:p>
    <w:p w14:paraId="6DB414B4" w14:textId="77777777" w:rsidR="008B1BE6" w:rsidRPr="00FB6D88" w:rsidRDefault="008B1BE6" w:rsidP="00FB6D88">
      <w:pPr>
        <w:pStyle w:val="Antrat3"/>
        <w:tabs>
          <w:tab w:val="clear" w:pos="567"/>
          <w:tab w:val="left" w:pos="426"/>
        </w:tabs>
        <w:ind w:firstLine="567"/>
      </w:pPr>
      <w:bookmarkStart w:id="13" w:name="_Toc105161223"/>
      <w:r w:rsidRPr="00FB6D88">
        <w:t>Dėl teisės į PVM atskaitą, kai taikant atvirkštinio apmokestinimo schemą (t. y. kai iš esmės nėra valstybės pajamų praradimo rizikos) PVM sąskaitą faktūrą išrašęs apmokestinamasis asmuo sąmoningai nurodė fiktyvų prekių tiekėją</w:t>
      </w:r>
      <w:bookmarkEnd w:id="13"/>
    </w:p>
    <w:p w14:paraId="308B3461" w14:textId="77777777" w:rsidR="008B1BE6" w:rsidRPr="0069032F" w:rsidRDefault="008B1BE6" w:rsidP="008B1BE6">
      <w:pPr>
        <w:tabs>
          <w:tab w:val="left" w:pos="6379"/>
        </w:tabs>
        <w:ind w:firstLine="540"/>
        <w:rPr>
          <w:rFonts w:asciiTheme="minorHAnsi" w:hAnsiTheme="minorHAnsi" w:cstheme="minorHAnsi"/>
        </w:rPr>
      </w:pPr>
    </w:p>
    <w:p w14:paraId="676531CC"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Prašymą priimti prejudicinį sprendimą pateikęs nacionalinis teismas iš esmės siekė išsiaiškinti, ar Direktyva 2006/112</w:t>
      </w:r>
      <w:r w:rsidRPr="0069032F">
        <w:rPr>
          <w:rStyle w:val="Puslapioinaosnuoroda"/>
          <w:rFonts w:asciiTheme="minorHAnsi" w:hAnsiTheme="minorHAnsi" w:cstheme="minorHAnsi"/>
        </w:rPr>
        <w:footnoteReference w:id="4"/>
      </w:r>
      <w:r w:rsidRPr="0069032F">
        <w:rPr>
          <w:rFonts w:asciiTheme="minorHAnsi" w:hAnsiTheme="minorHAnsi" w:cstheme="minorHAnsi"/>
        </w:rPr>
        <w:t>, siejama su mokesčių neutralumo principu, turi būti aiškinama taip, kad apmokestinamajam asmeniui neturi būti leidžiama pasinaudoti teise į PVM atskaitą už jam patiektų prekių įsigijimą, jeigu jis sąskaitoje faktūroje, kurią pats išrašė dėl šio sandorio pagal atvirkštinio apmokestinimo sistemą, sąmoningai nurodė fiktyvų tiekėją.</w:t>
      </w:r>
    </w:p>
    <w:p w14:paraId="303440AB" w14:textId="3AB0763A"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Įvertinęs Direktyvos 2006/112 nuostatas Teisingumo Teismas pirmiausia pažymėjo, kad už prekes ar paslaugas, kurių atžvilgiu įgyvendinama teisė į PVM atskaitą, išrašytoje sąskaitoje faktūroje reikia nurodyti atitinkamai teikėją arba tiekėją –</w:t>
      </w:r>
      <w:r w:rsidR="00E0354B">
        <w:rPr>
          <w:rFonts w:asciiTheme="minorHAnsi" w:hAnsiTheme="minorHAnsi" w:cstheme="minorHAnsi"/>
        </w:rPr>
        <w:t xml:space="preserve"> </w:t>
      </w:r>
      <w:r w:rsidRPr="0069032F">
        <w:rPr>
          <w:rFonts w:asciiTheme="minorHAnsi" w:hAnsiTheme="minorHAnsi" w:cstheme="minorHAnsi"/>
          <w:u w:val="single"/>
        </w:rPr>
        <w:t>nors tai yra formali sąlyga pasinaudoti šia teise, prekių tiekėjo ar paslaugų teikėjo (kaip apmokestinamojo asmens) statusas siejamas su materialinių sąlygų laikymusi</w:t>
      </w:r>
      <w:r w:rsidR="00E0354B">
        <w:rPr>
          <w:rFonts w:asciiTheme="minorHAnsi" w:hAnsiTheme="minorHAnsi" w:cstheme="minorHAnsi"/>
          <w:u w:val="single"/>
        </w:rPr>
        <w:t>.</w:t>
      </w:r>
      <w:r w:rsidRPr="0069032F">
        <w:rPr>
          <w:rFonts w:asciiTheme="minorHAnsi" w:hAnsiTheme="minorHAnsi" w:cstheme="minorHAnsi"/>
        </w:rPr>
        <w:t xml:space="preserve"> Be to, kalbant konkrečiai apie PVM atskaitos taikymo tvarką atvirkštinio apmokestinimo atveju, numatytu Direktyvos 2006/112 199 straipsnio 1 dalyje, pažymėta, kad apmokestinamasis asmuo, kuris, kaip prekės </w:t>
      </w:r>
      <w:r w:rsidRPr="0069032F">
        <w:rPr>
          <w:rFonts w:asciiTheme="minorHAnsi" w:hAnsiTheme="minorHAnsi" w:cstheme="minorHAnsi"/>
        </w:rPr>
        <w:lastRenderedPageBreak/>
        <w:t>pirkėjas, turi prievolę sumokėti su ja susijusį PVM, neprivalo turėti sąskaitos faktūros, išrašytos remiantis formaliomis šios direktyvos sąlygomis, kad galėtų naudotis teise į atskaitą.</w:t>
      </w:r>
    </w:p>
    <w:p w14:paraId="5FA1A6A1"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Todėl, pirma, mokesčių administratorius neturi apsiriboti pačių sąskaitų faktūrų nagrinėjimu. Jis taip pat turi atsižvelgti į apmokestinamojo asmens pateiktą papildomą informaciją. Antra, būtent apmokestinamasis asmuo, prašantis PVM atskaitos, turi įrodyti, kad atitinka sąlygas jai gauti. Mokesčių institucijos gali iš paties apmokestinamojo asmens reikalauti įrodymų, kuriuos jos laiko reikalingais nuspręsti, ar galima suteikti prašomą atskaitą.</w:t>
      </w:r>
    </w:p>
    <w:p w14:paraId="57824567" w14:textId="30DA1D1C"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 xml:space="preserve">Pasisakydamas dėl to, ar nesąžiningam apmokestinamajam asmeniui neleisti pasinaudoti teise į atskaitą galima tik tais atvejais, kai kyla rizika, kad valstybė narė gali prarasti mokestines pajamas ir apmokestinamasis asmuo ar kiti nagrinėjamo sandorio dalyviai gali pasinaudoti mokesčių lengvata, Teisingumo Teismas pažymėjo, kad, taikant atvirkštinio apmokestinimo sistemą, valstybės iždui iš esmės nėra mokėtina jokia suma. Vis dėlto, apmokestinamajam asmeniui neturi būti leidžiama pasinaudoti teise į atskaitą, jei trūksta reikiamų duomenų patikrinti, ar atitinkamų prekių tiekėjas ar paslaugų teikėjas buvo apmokestinamasis asmuo, arba jei surinkta pakankamai įrodymų, kad šis apmokestinamasis asmuo sukčiavo PVM arba žinojo ar turėjo žinoti, kad sandoris, kuriuo grindžiama ši teisė, buvo susijęs su tokiu sukčiavimu. </w:t>
      </w:r>
      <w:r w:rsidRPr="0069032F">
        <w:rPr>
          <w:rFonts w:asciiTheme="minorHAnsi" w:hAnsiTheme="minorHAnsi" w:cstheme="minorHAnsi"/>
          <w:u w:val="single"/>
        </w:rPr>
        <w:t>Taigi tokiam neleidimui pateisinti nebūtina nustatyti mokestinių pajamų praradimo rizikos</w:t>
      </w:r>
      <w:r w:rsidRPr="0069032F">
        <w:rPr>
          <w:rFonts w:asciiTheme="minorHAnsi" w:hAnsiTheme="minorHAnsi" w:cstheme="minorHAnsi"/>
        </w:rPr>
        <w:t>.</w:t>
      </w:r>
    </w:p>
    <w:p w14:paraId="3BAD753B"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Šiomis ir kitomis aplinkybėmis Teisingumo Teismas konstatavo, kad Direktyva 2006/112, siejama su mokesčių neutralumo principu, turi būti aiškinama taip, kad apmokestinamajam asmeniui neturi būti leidžiama pasinaudoti teise į PVM atskaitą už jam patiektų prekių įsigijimą, jeigu jis sąskaitoje faktūroje, kurią pats išrašė dėl šio sandorio pagal atvirkštinio apmokestinimo sistemą, sąmoningai nurodė fiktyvų tiekėją, kai atsižvelgiant į faktines aplinkybes ir to apmokestinamojo asmens pateiktą informaciją trūksta reikiamų duomenų patikrinti, ar tikrasis tiekėjas turėjo apmokestinamojo asmens statusą, arba kai pakankamai įrodyta, kad minėtas apmokestinamasis asmuo sukčiavo PVM arba žinojo ar turėjo žinoti, kad sandoris, kuriuo grindžiama teisė į atskaitą, buvo susijęs su tokiu sukčiavimu.</w:t>
      </w:r>
    </w:p>
    <w:p w14:paraId="08773918" w14:textId="77777777" w:rsidR="008B1BE6" w:rsidRPr="0069032F" w:rsidRDefault="004D029A" w:rsidP="008B1BE6">
      <w:pPr>
        <w:tabs>
          <w:tab w:val="left" w:pos="6379"/>
        </w:tabs>
        <w:ind w:firstLine="540"/>
        <w:rPr>
          <w:rFonts w:asciiTheme="minorHAnsi" w:hAnsiTheme="minorHAnsi" w:cstheme="minorHAnsi"/>
        </w:rPr>
      </w:pPr>
      <w:hyperlink r:id="rId13" w:history="1">
        <w:r w:rsidR="008B1BE6" w:rsidRPr="0069032F">
          <w:rPr>
            <w:rStyle w:val="Hipersaitas"/>
            <w:rFonts w:asciiTheme="minorHAnsi" w:hAnsiTheme="minorHAnsi" w:cstheme="minorHAnsi"/>
          </w:rPr>
          <w:t>Prieiga internete</w:t>
        </w:r>
      </w:hyperlink>
    </w:p>
    <w:p w14:paraId="65871678" w14:textId="77777777" w:rsidR="008B1BE6" w:rsidRPr="0069032F" w:rsidRDefault="008B1BE6" w:rsidP="008C676D">
      <w:pPr>
        <w:tabs>
          <w:tab w:val="left" w:pos="6379"/>
        </w:tabs>
        <w:ind w:firstLine="540"/>
        <w:rPr>
          <w:rFonts w:asciiTheme="minorHAnsi" w:hAnsiTheme="minorHAnsi" w:cstheme="minorHAnsi"/>
        </w:rPr>
      </w:pPr>
    </w:p>
    <w:p w14:paraId="0E1AFC23" w14:textId="61CE328D" w:rsidR="008B1BE6" w:rsidRPr="0069032F" w:rsidRDefault="008B1BE6" w:rsidP="00312341">
      <w:pPr>
        <w:pStyle w:val="Antrat1"/>
      </w:pPr>
      <w:bookmarkStart w:id="14" w:name="_Toc105161224"/>
      <w:r w:rsidRPr="0069032F">
        <w:t xml:space="preserve">2021 m. lapkričio 25 d. sprendimas byloje </w:t>
      </w:r>
      <w:r w:rsidRPr="0069032F">
        <w:rPr>
          <w:i/>
          <w:iCs/>
        </w:rPr>
        <w:t>Amper Metal</w:t>
      </w:r>
      <w:r w:rsidR="00312341">
        <w:t xml:space="preserve">, </w:t>
      </w:r>
      <w:r w:rsidRPr="0069032F">
        <w:t>C</w:t>
      </w:r>
      <w:r w:rsidRPr="0069032F">
        <w:rPr>
          <w:rFonts w:ascii="Cambria Math" w:hAnsi="Cambria Math" w:cs="Cambria Math"/>
        </w:rPr>
        <w:t>‑</w:t>
      </w:r>
      <w:r w:rsidRPr="0069032F">
        <w:t>334/20</w:t>
      </w:r>
      <w:bookmarkEnd w:id="14"/>
    </w:p>
    <w:p w14:paraId="3C4778CC" w14:textId="77777777" w:rsidR="008B1BE6" w:rsidRPr="0069032F" w:rsidRDefault="008B1BE6" w:rsidP="008B1BE6">
      <w:pPr>
        <w:tabs>
          <w:tab w:val="left" w:pos="6379"/>
        </w:tabs>
        <w:ind w:firstLine="540"/>
        <w:rPr>
          <w:rFonts w:asciiTheme="minorHAnsi" w:hAnsiTheme="minorHAnsi" w:cstheme="minorHAnsi"/>
        </w:rPr>
      </w:pPr>
    </w:p>
    <w:p w14:paraId="1CF1F8C9"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Bendra pridėtinės vertės mokesčio sistema (PVM) – Direktyva 2006/112/EB – 2 straipsnis – PVM apmokestinamas sandoris – Sąvoka – 168 straipsnio a punktas ir 176 straipsnis – Teisė į sumokėto pirkimo PVM atskaitą – Atsisakymas – Reklamos paslaugos, kurias mokesčių administratorius laiko per brangiomis ir nenaudingomis – Apmokestinamojo asmens apyvartos nesukūrimas</w:t>
      </w:r>
    </w:p>
    <w:p w14:paraId="09E20639" w14:textId="77777777" w:rsidR="008B1BE6" w:rsidRPr="0069032F" w:rsidRDefault="008B1BE6" w:rsidP="008B1BE6">
      <w:pPr>
        <w:tabs>
          <w:tab w:val="left" w:pos="6379"/>
        </w:tabs>
        <w:rPr>
          <w:rFonts w:asciiTheme="minorHAnsi" w:hAnsiTheme="minorHAnsi" w:cstheme="minorHAnsi"/>
        </w:rPr>
      </w:pPr>
    </w:p>
    <w:p w14:paraId="3F156BF5" w14:textId="77777777" w:rsidR="008B1BE6" w:rsidRPr="0069032F" w:rsidRDefault="008B1BE6" w:rsidP="008B1BE6">
      <w:pPr>
        <w:tabs>
          <w:tab w:val="left" w:pos="6379"/>
        </w:tabs>
        <w:jc w:val="center"/>
        <w:rPr>
          <w:rFonts w:asciiTheme="minorHAnsi" w:hAnsiTheme="minorHAnsi" w:cstheme="minorHAnsi"/>
          <w:b/>
          <w:bCs/>
        </w:rPr>
      </w:pPr>
      <w:r w:rsidRPr="0069032F">
        <w:rPr>
          <w:rFonts w:asciiTheme="minorHAnsi" w:hAnsiTheme="minorHAnsi" w:cstheme="minorHAnsi"/>
          <w:b/>
          <w:bCs/>
        </w:rPr>
        <w:t>Bylos aplinkybės</w:t>
      </w:r>
    </w:p>
    <w:p w14:paraId="33DB7923" w14:textId="77777777" w:rsidR="008B1BE6" w:rsidRPr="0069032F" w:rsidRDefault="008B1BE6" w:rsidP="008B1BE6">
      <w:pPr>
        <w:tabs>
          <w:tab w:val="left" w:pos="6379"/>
        </w:tabs>
        <w:rPr>
          <w:rFonts w:asciiTheme="minorHAnsi" w:hAnsiTheme="minorHAnsi" w:cstheme="minorHAnsi"/>
        </w:rPr>
      </w:pPr>
    </w:p>
    <w:p w14:paraId="05C2F31C" w14:textId="081B7BFD"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Prašymas priimti</w:t>
      </w:r>
      <w:r w:rsidR="00E0354B">
        <w:rPr>
          <w:rFonts w:asciiTheme="minorHAnsi" w:hAnsiTheme="minorHAnsi" w:cstheme="minorHAnsi"/>
        </w:rPr>
        <w:t xml:space="preserve"> </w:t>
      </w:r>
      <w:r w:rsidRPr="0069032F">
        <w:rPr>
          <w:rFonts w:asciiTheme="minorHAnsi" w:hAnsiTheme="minorHAnsi" w:cstheme="minorHAnsi"/>
        </w:rPr>
        <w:t>pateiktas nagrinėjant Amper Metal Kft. ir Vengrijos mokesčių administratoriaus ginčą dėl pastarojo atsisakymo leisti atskaityti sumokėtą pirkimo PVM už reklamos paslaugas.</w:t>
      </w:r>
    </w:p>
    <w:p w14:paraId="22F51FE9" w14:textId="6A26FB0B"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2014 m. Amper Metal su reklamos paslaugas teikiančia bendrove sudarė sutartį dėl reklamos paslaugų teikimo; šias paslaugas sudarė reklaminių lipdukų su Amper Metal ženklu klijavimas ant automobilių per automobilių lenktynių čempionatą Vengrijoje.</w:t>
      </w:r>
      <w:r w:rsidR="00E0354B">
        <w:rPr>
          <w:rFonts w:asciiTheme="minorHAnsi" w:hAnsiTheme="minorHAnsi" w:cstheme="minorHAnsi"/>
        </w:rPr>
        <w:t xml:space="preserve"> </w:t>
      </w:r>
      <w:r w:rsidRPr="0069032F">
        <w:rPr>
          <w:rFonts w:asciiTheme="minorHAnsi" w:hAnsiTheme="minorHAnsi" w:cstheme="minorHAnsi"/>
        </w:rPr>
        <w:t>Amper Metal atskaitė už šias paslaugas sumokėtą PVM savo mokesčių deklaracijose.</w:t>
      </w:r>
    </w:p>
    <w:p w14:paraId="30D603F7"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Atlikęs paskesnį šių deklaracijų patikrinimą mokesčių administratorius atmetė šią atskaitą, nusprendęs, kad išlaidos, susijusios su aptariamomis reklamos paslaugomis, nėra išlaidos, susijusios su apmokestinamaisiais sandoriais, iš kurių Amper Metal gauna pajamas. Tokią poziciją grindė aplinkybe, kad šios reklamos paslaugos buvo pernelyg brangios ir iš tikrųjų nebuvo naudingos Amper Metal, visų pirma atsižvelgiant į šios bendrovės klientų, t. y. popieriaus, karšto valcavimo dirbtuvių ir kitų pramonės atstovų, pobūdį; šių klientų sprendimams negalėjo daryti įtakos ant lenktyninių automobilių esantys lipdukai.</w:t>
      </w:r>
    </w:p>
    <w:p w14:paraId="1D62D7CD" w14:textId="77777777" w:rsidR="008B1BE6" w:rsidRPr="0069032F" w:rsidRDefault="008B1BE6" w:rsidP="008B1BE6">
      <w:pPr>
        <w:tabs>
          <w:tab w:val="left" w:pos="6379"/>
        </w:tabs>
        <w:rPr>
          <w:rFonts w:asciiTheme="minorHAnsi" w:hAnsiTheme="minorHAnsi" w:cstheme="minorHAnsi"/>
        </w:rPr>
      </w:pPr>
    </w:p>
    <w:p w14:paraId="73FD885F" w14:textId="77777777" w:rsidR="008B1BE6" w:rsidRPr="0069032F" w:rsidRDefault="008B1BE6" w:rsidP="008B1BE6">
      <w:pPr>
        <w:tabs>
          <w:tab w:val="left" w:pos="6379"/>
        </w:tabs>
        <w:jc w:val="center"/>
        <w:rPr>
          <w:rFonts w:asciiTheme="minorHAnsi" w:hAnsiTheme="minorHAnsi" w:cstheme="minorHAnsi"/>
          <w:b/>
          <w:bCs/>
        </w:rPr>
      </w:pPr>
      <w:r w:rsidRPr="0069032F">
        <w:rPr>
          <w:rFonts w:asciiTheme="minorHAnsi" w:hAnsiTheme="minorHAnsi" w:cstheme="minorHAnsi"/>
          <w:b/>
          <w:bCs/>
        </w:rPr>
        <w:t>Teisingumo Teismo vertinimas</w:t>
      </w:r>
    </w:p>
    <w:p w14:paraId="6065877E" w14:textId="77777777" w:rsidR="008B1BE6" w:rsidRPr="0069032F" w:rsidRDefault="008B1BE6" w:rsidP="008B1BE6">
      <w:pPr>
        <w:tabs>
          <w:tab w:val="left" w:pos="6379"/>
        </w:tabs>
        <w:ind w:firstLine="540"/>
        <w:rPr>
          <w:rFonts w:asciiTheme="minorHAnsi" w:hAnsiTheme="minorHAnsi" w:cstheme="minorHAnsi"/>
        </w:rPr>
      </w:pPr>
    </w:p>
    <w:p w14:paraId="320BC4AA" w14:textId="5026BEE8" w:rsidR="008B1BE6" w:rsidRPr="00312341" w:rsidRDefault="008B1BE6" w:rsidP="00312341">
      <w:pPr>
        <w:pStyle w:val="Antrat3"/>
        <w:tabs>
          <w:tab w:val="clear" w:pos="567"/>
          <w:tab w:val="left" w:pos="426"/>
        </w:tabs>
        <w:ind w:firstLine="567"/>
      </w:pPr>
      <w:bookmarkStart w:id="15" w:name="_Toc105161225"/>
      <w:r w:rsidRPr="00312341">
        <w:t>Dėl nepagrįstai didelės reklamos paslaugų kainos ir aplinkybės, kad šias paslaugas įsigijusio</w:t>
      </w:r>
      <w:r w:rsidR="00E0354B">
        <w:t xml:space="preserve"> </w:t>
      </w:r>
      <w:r w:rsidRPr="00312341">
        <w:t>apmokestinamojo asmens apyvarta dėl jų (reklamos paslaugų) nepadidėjo reikšmės sprendžiant dėl teisės atskaityti už šias paslaug</w:t>
      </w:r>
      <w:r w:rsidR="00F35A55">
        <w:t>a</w:t>
      </w:r>
      <w:r w:rsidRPr="00312341">
        <w:t>s sumokėtą pirkimo PVM</w:t>
      </w:r>
      <w:bookmarkEnd w:id="15"/>
    </w:p>
    <w:p w14:paraId="08848A13" w14:textId="77777777" w:rsidR="008B1BE6" w:rsidRPr="0069032F" w:rsidRDefault="008B1BE6" w:rsidP="008B1BE6">
      <w:pPr>
        <w:tabs>
          <w:tab w:val="left" w:pos="6379"/>
        </w:tabs>
        <w:ind w:firstLine="540"/>
        <w:rPr>
          <w:rFonts w:asciiTheme="minorHAnsi" w:hAnsiTheme="minorHAnsi" w:cstheme="minorHAnsi"/>
        </w:rPr>
      </w:pPr>
    </w:p>
    <w:p w14:paraId="5FB1A5FC"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lastRenderedPageBreak/>
        <w:t>Prejudicinius klausimus pateikęs nacionalinis teismas iš esmės siekė išsiaiškinti, ar PVM direktyvos</w:t>
      </w:r>
      <w:r w:rsidRPr="0069032F">
        <w:rPr>
          <w:rStyle w:val="Puslapioinaosnuoroda"/>
          <w:rFonts w:asciiTheme="minorHAnsi" w:hAnsiTheme="minorHAnsi" w:cstheme="minorHAnsi"/>
        </w:rPr>
        <w:footnoteReference w:id="5"/>
      </w:r>
      <w:r w:rsidRPr="0069032F">
        <w:rPr>
          <w:rFonts w:asciiTheme="minorHAnsi" w:hAnsiTheme="minorHAnsi" w:cstheme="minorHAnsi"/>
        </w:rPr>
        <w:t xml:space="preserve"> 168 straipsnio a punktas turi būti aiškinamas taip, kad apmokestinamasis asmuo negali atskaityti už reklamos paslaugas sumokėto pirkimo PVM dėl to, kad, pirma, už tokias paslaugas sąskaitoje faktūroje nurodyta kaina yra per didelė, palyginti su nacionalinio mokesčių administratoriaus nustatyta referencine verte, ir, antra, dėl šių paslaugų šio apmokestinamojo asmens apyvarta nepadidėjo.</w:t>
      </w:r>
    </w:p>
    <w:p w14:paraId="3D399F65"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 xml:space="preserve">Dėl teiginio, kad už apmokestinamajam asmeniui suteiktas paslaugas sąskaitoje faktūroje nurodyta kaina yra per didelė, ir jos poveikio teisei į atskaitą Teisingumo Teismas, be kita ko, pažymėjo, teisė į atskaitą iš principo taikoma visiems mokesčiams, sumokėtiems sudarant pirkimo sandorius, nes šie mokesčiai apskaičiuojami pagal taikytiną apmokestinamąją vertę, t. y. </w:t>
      </w:r>
      <w:r w:rsidRPr="0069032F">
        <w:rPr>
          <w:rFonts w:asciiTheme="minorHAnsi" w:hAnsiTheme="minorHAnsi" w:cstheme="minorHAnsi"/>
          <w:u w:val="single"/>
        </w:rPr>
        <w:t>kalbama apie šalių nustatytą atlygį, mokamą tiekėjui ar teikėjui, o ne objektyvią vertę, kaip antai rinkos vertę</w:t>
      </w:r>
      <w:r w:rsidRPr="0069032F">
        <w:rPr>
          <w:rFonts w:asciiTheme="minorHAnsi" w:hAnsiTheme="minorHAnsi" w:cstheme="minorHAnsi"/>
        </w:rPr>
        <w:t xml:space="preserve"> (PVM direktyvos 80 str., nustatantis „ištiestos rankos“ principo taikymo taisykles, nagrinėtu atveju nebuvo taikomas).</w:t>
      </w:r>
    </w:p>
    <w:p w14:paraId="66A4C047"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 xml:space="preserve">Dėl konstatavimo, kad apmokestinamojo asmens apyvarta nepadidėjo ir kad jam suteiktos paslaugos yra nenaudingos, Teisingumo Teismas priminė, jog </w:t>
      </w:r>
      <w:r w:rsidRPr="0069032F">
        <w:rPr>
          <w:rFonts w:asciiTheme="minorHAnsi" w:hAnsiTheme="minorHAnsi" w:cstheme="minorHAnsi"/>
          <w:u w:val="single"/>
        </w:rPr>
        <w:t>nors apmokestinamojo asmens patirtos išlaidos turi būti laikomos verslo išlaidomis, o įsigytos prekės ar paslaugos naudojamos apmokestinamojo asmens apmokestinamiesiems sandoriams, nei direktyvos nuostatose teisei į atskaitą įgyvendinti nenustatyta nei apmokestinamojo asmens apyvartos augimo kriterijaus, nei apskritai pirkimo sandorio ekonominio pelningumo kriterijaus</w:t>
      </w:r>
      <w:r w:rsidRPr="0069032F">
        <w:rPr>
          <w:rFonts w:asciiTheme="minorHAnsi" w:hAnsiTheme="minorHAnsi" w:cstheme="minorHAnsi"/>
        </w:rPr>
        <w:t xml:space="preserve">. Nepadidėjusi apmokestinamojo asmens apyvarta negali turėti įtakos naudojimuisi teise į atskaitą. </w:t>
      </w:r>
    </w:p>
    <w:p w14:paraId="597154C9" w14:textId="34E03F31" w:rsidR="008B1BE6"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Teisingumo Teismas konstatavo, kad PVM direktyvos 168 straipsnio a punktas turi būti aiškinamas taip, kad apmokestinamasis asmuo gali atskaityti pirkimo PVM, sumokėtą už reklamos paslaugas, jeigu toks paslaugų teikimas yra PVM apmokestinamas sandoris, kaip tai suprantama pagal PVM direktyvos 2 straipsnį, ir turi tiesioginį ir nedelsiant atsirandantį ryšį su vienu ar keliais apmokestinamaisiais pardavimo sandoriais arba su visa apmokestinamojo asmens ekonomine veikla kaip bendrosios veiklos išlaidos; nereikia atsižvelgti į aplinkybę, kad sąskaitoje faktūroje nurodyta kaina už tokias paslaugas yra per didelė, palyginti su nacionalinio mokesčių administratoriaus nustatyta referencine verte, arba į tai, kad dėl šių paslaugų šio apmokestinamojo asmens apyvarta nepadidėjo.</w:t>
      </w:r>
    </w:p>
    <w:p w14:paraId="6BCE798F" w14:textId="24D88689" w:rsidR="008B1BE6" w:rsidRPr="0069032F" w:rsidRDefault="004D029A" w:rsidP="008B1BE6">
      <w:pPr>
        <w:tabs>
          <w:tab w:val="left" w:pos="6379"/>
        </w:tabs>
        <w:ind w:firstLine="540"/>
        <w:rPr>
          <w:rStyle w:val="Hipersaitas"/>
          <w:rFonts w:asciiTheme="minorHAnsi" w:hAnsiTheme="minorHAnsi" w:cstheme="minorHAnsi"/>
        </w:rPr>
      </w:pPr>
      <w:hyperlink r:id="rId14" w:history="1">
        <w:r w:rsidR="00184B14" w:rsidRPr="00184B14">
          <w:rPr>
            <w:rStyle w:val="Hipersaitas"/>
            <w:rFonts w:asciiTheme="minorHAnsi" w:hAnsiTheme="minorHAnsi" w:cstheme="minorHAnsi"/>
          </w:rPr>
          <w:t>Prieiga internete</w:t>
        </w:r>
      </w:hyperlink>
      <w:r w:rsidR="00184B14" w:rsidRPr="0069032F">
        <w:rPr>
          <w:rStyle w:val="Hipersaitas"/>
          <w:rFonts w:asciiTheme="minorHAnsi" w:hAnsiTheme="minorHAnsi" w:cstheme="minorHAnsi"/>
        </w:rPr>
        <w:t xml:space="preserve"> </w:t>
      </w:r>
    </w:p>
    <w:p w14:paraId="6BC9A9C3" w14:textId="328280E5" w:rsidR="008B1BE6" w:rsidRPr="0069032F" w:rsidRDefault="008B1BE6" w:rsidP="008B1BE6">
      <w:pPr>
        <w:tabs>
          <w:tab w:val="left" w:pos="6379"/>
        </w:tabs>
        <w:ind w:firstLine="540"/>
        <w:rPr>
          <w:rStyle w:val="Hipersaitas"/>
          <w:rFonts w:asciiTheme="minorHAnsi" w:hAnsiTheme="minorHAnsi" w:cstheme="minorHAnsi"/>
        </w:rPr>
      </w:pPr>
    </w:p>
    <w:p w14:paraId="7D4C9AC8" w14:textId="7BB8BC63" w:rsidR="008B1BE6" w:rsidRPr="0069032F" w:rsidRDefault="008B1BE6" w:rsidP="00312341">
      <w:pPr>
        <w:pStyle w:val="Antrat1"/>
      </w:pPr>
      <w:bookmarkStart w:id="16" w:name="_Toc105161226"/>
      <w:r w:rsidRPr="0069032F">
        <w:t xml:space="preserve">2021 m. gruodžio 9 d. sprendimas byloje </w:t>
      </w:r>
      <w:r w:rsidRPr="0069032F">
        <w:rPr>
          <w:i/>
          <w:iCs/>
        </w:rPr>
        <w:t>Kemwater ProChemie</w:t>
      </w:r>
      <w:r w:rsidR="00312341">
        <w:t xml:space="preserve">, </w:t>
      </w:r>
      <w:r w:rsidRPr="0069032F">
        <w:t>C</w:t>
      </w:r>
      <w:r w:rsidRPr="0069032F">
        <w:rPr>
          <w:rFonts w:ascii="Cambria Math" w:hAnsi="Cambria Math" w:cs="Cambria Math"/>
        </w:rPr>
        <w:t>‑</w:t>
      </w:r>
      <w:r w:rsidRPr="0069032F">
        <w:t>154/20</w:t>
      </w:r>
      <w:bookmarkEnd w:id="16"/>
    </w:p>
    <w:p w14:paraId="7EDADEB7" w14:textId="77777777" w:rsidR="008B1BE6" w:rsidRPr="0069032F" w:rsidRDefault="008B1BE6" w:rsidP="008B1BE6">
      <w:pPr>
        <w:tabs>
          <w:tab w:val="left" w:pos="6379"/>
        </w:tabs>
        <w:ind w:firstLine="540"/>
        <w:rPr>
          <w:rFonts w:asciiTheme="minorHAnsi" w:hAnsiTheme="minorHAnsi" w:cstheme="minorHAnsi"/>
        </w:rPr>
      </w:pPr>
    </w:p>
    <w:p w14:paraId="2D9F209F"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Pridėtinės vertės mokestis (PVM) – Direktyva 2006/112/EB – 168 straipsnis – Teisė į pirkimo mokesčio atskaitą – Materialinės teisės į atskaitą sąlygos – Teikėjo, kaip apmokestinamojo asmens, statusas – Įrodinėjimo pareiga – Atsisakymas suteikti teisę į atskaitą, kai tikrasis teikėjas nebuvo nustatytas – Sąlygos</w:t>
      </w:r>
    </w:p>
    <w:p w14:paraId="4CB33D44" w14:textId="77777777" w:rsidR="008B1BE6" w:rsidRPr="0069032F" w:rsidRDefault="008B1BE6" w:rsidP="008B1BE6">
      <w:pPr>
        <w:tabs>
          <w:tab w:val="left" w:pos="6379"/>
        </w:tabs>
        <w:ind w:firstLine="540"/>
        <w:rPr>
          <w:rFonts w:asciiTheme="minorHAnsi" w:hAnsiTheme="minorHAnsi" w:cstheme="minorHAnsi"/>
        </w:rPr>
      </w:pPr>
    </w:p>
    <w:p w14:paraId="13423AD0" w14:textId="77777777" w:rsidR="008B1BE6" w:rsidRPr="0069032F" w:rsidRDefault="008B1BE6" w:rsidP="008B1BE6">
      <w:pPr>
        <w:tabs>
          <w:tab w:val="left" w:pos="6379"/>
        </w:tabs>
        <w:jc w:val="center"/>
        <w:rPr>
          <w:rFonts w:asciiTheme="minorHAnsi" w:hAnsiTheme="minorHAnsi" w:cstheme="minorHAnsi"/>
          <w:b/>
          <w:bCs/>
        </w:rPr>
      </w:pPr>
      <w:r w:rsidRPr="0069032F">
        <w:rPr>
          <w:rFonts w:asciiTheme="minorHAnsi" w:hAnsiTheme="minorHAnsi" w:cstheme="minorHAnsi"/>
          <w:b/>
          <w:bCs/>
        </w:rPr>
        <w:t>Bylos aplinkybės</w:t>
      </w:r>
    </w:p>
    <w:p w14:paraId="6ED7009F" w14:textId="77777777" w:rsidR="008B1BE6" w:rsidRPr="0069032F" w:rsidRDefault="008B1BE6" w:rsidP="008B1BE6">
      <w:pPr>
        <w:tabs>
          <w:tab w:val="left" w:pos="6379"/>
        </w:tabs>
        <w:ind w:firstLine="540"/>
        <w:rPr>
          <w:rFonts w:asciiTheme="minorHAnsi" w:hAnsiTheme="minorHAnsi" w:cstheme="minorHAnsi"/>
        </w:rPr>
      </w:pPr>
    </w:p>
    <w:p w14:paraId="493FC368"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Prašymas priimti prejudicinį sprendimą pateiktas nagrinėjant Kemwater ProChemie s. r. o. ir Čekijos mokesčių administratoriaus ginčą dėl atsisakymo suteikti teisę į PVM, sumokėto už reklamos paslaugų teikimą 2010 ir 2011 m., atskaitą.</w:t>
      </w:r>
    </w:p>
    <w:p w14:paraId="2E383922" w14:textId="706B2511"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Po 2012 m. pradėto mokestinio patikrinimo Čekijos mokesčių administratorius atsisakė suteikti Kemwater ProChemie teisę į PVM, sumokėto už 2010 ir 2011 m. vykusiuose golfo turnyruose suteiktas reklamos paslaugas, atskaitą. Pagal mokesčių dokumentus šias paslaugas suteikė Viasat Service s. r. o. Neabejodama dėl nagrinėjamų paslaugų tikrumo Čekijos mokesčių institucija konstatavo, kad bendrovės Viasat Service vadovas pareiškė, jog nežinojo, kad šias paslaugas teikė ši bendrovė, o Kemwater ProChemie savo ruožtu negalėjo įrodyti, kad ši bendrovė tikrai yra minėtų paslaugų teikėja. Manydama, viena vertus, kad paslaugų teikėjo ar teikėjų tapatybė ir jų PVM mokėtojo statusas nebuvo nustatyti ir, kita vertus, kad nagrinėjamų paslaugų mastas iš dalies buvo ginčytinas, mokesčių administratorius priėmė pranešimus apie mokėtiną mokestį, juose nustatė už kiekvieną mokestinį laikotarpį mokėtiną PVM ir paskyrė Kemwater ProChemie baudą.</w:t>
      </w:r>
    </w:p>
    <w:p w14:paraId="3DF4AAB6" w14:textId="77777777" w:rsidR="008B1BE6" w:rsidRPr="0069032F" w:rsidRDefault="008B1BE6" w:rsidP="008B1BE6">
      <w:pPr>
        <w:tabs>
          <w:tab w:val="left" w:pos="6379"/>
        </w:tabs>
        <w:rPr>
          <w:rFonts w:asciiTheme="minorHAnsi" w:hAnsiTheme="minorHAnsi" w:cstheme="minorHAnsi"/>
        </w:rPr>
      </w:pPr>
    </w:p>
    <w:p w14:paraId="6E45EE64" w14:textId="77777777" w:rsidR="008B1BE6" w:rsidRPr="0069032F" w:rsidRDefault="008B1BE6" w:rsidP="008B1BE6">
      <w:pPr>
        <w:tabs>
          <w:tab w:val="left" w:pos="6379"/>
        </w:tabs>
        <w:jc w:val="center"/>
        <w:rPr>
          <w:rFonts w:asciiTheme="minorHAnsi" w:hAnsiTheme="minorHAnsi" w:cstheme="minorHAnsi"/>
          <w:b/>
          <w:bCs/>
        </w:rPr>
      </w:pPr>
      <w:r w:rsidRPr="0069032F">
        <w:rPr>
          <w:rFonts w:asciiTheme="minorHAnsi" w:hAnsiTheme="minorHAnsi" w:cstheme="minorHAnsi"/>
          <w:b/>
          <w:bCs/>
        </w:rPr>
        <w:t>Teisingumo Teismo vertinimas</w:t>
      </w:r>
    </w:p>
    <w:p w14:paraId="0BD77036" w14:textId="77777777" w:rsidR="008B1BE6" w:rsidRPr="0069032F" w:rsidRDefault="008B1BE6" w:rsidP="008B1BE6">
      <w:pPr>
        <w:tabs>
          <w:tab w:val="left" w:pos="6379"/>
        </w:tabs>
        <w:rPr>
          <w:rFonts w:asciiTheme="minorHAnsi" w:hAnsiTheme="minorHAnsi" w:cstheme="minorHAnsi"/>
        </w:rPr>
      </w:pPr>
    </w:p>
    <w:p w14:paraId="62F88116" w14:textId="24988C6D" w:rsidR="008B1BE6" w:rsidRPr="00312341" w:rsidRDefault="008B1BE6" w:rsidP="00312341">
      <w:pPr>
        <w:pStyle w:val="Antrat3"/>
        <w:tabs>
          <w:tab w:val="clear" w:pos="567"/>
          <w:tab w:val="left" w:pos="426"/>
        </w:tabs>
        <w:ind w:firstLine="567"/>
      </w:pPr>
      <w:bookmarkStart w:id="17" w:name="_Toc105161227"/>
      <w:r w:rsidRPr="00312341">
        <w:t>Dėl mokesčių administratoriaus pareigos įrodinėti apmokestinamojo asmens, siekiančio pasinaudoti teis</w:t>
      </w:r>
      <w:r w:rsidR="001D6ADA">
        <w:t>e</w:t>
      </w:r>
      <w:r w:rsidRPr="00312341">
        <w:t xml:space="preserve"> į PVM atskaitą, sukčiavimo ir (ar) nesąžiningumo</w:t>
      </w:r>
      <w:r w:rsidR="00925870">
        <w:t xml:space="preserve"> aspektus</w:t>
      </w:r>
      <w:r w:rsidRPr="00312341">
        <w:t>, kai prekes patiekė ir paslaugas suteik</w:t>
      </w:r>
      <w:r w:rsidR="001D6ADA">
        <w:t>ė</w:t>
      </w:r>
      <w:r w:rsidRPr="00312341">
        <w:t xml:space="preserve"> ne sąskaitoje faktūroje nurodytas asmuo (prekių tiekėjas ar paslaugų teikėjas)</w:t>
      </w:r>
      <w:bookmarkEnd w:id="17"/>
    </w:p>
    <w:p w14:paraId="727D0F0B" w14:textId="77777777" w:rsidR="008B1BE6" w:rsidRPr="0069032F" w:rsidRDefault="008B1BE6" w:rsidP="008B1BE6">
      <w:pPr>
        <w:tabs>
          <w:tab w:val="left" w:pos="6379"/>
        </w:tabs>
        <w:ind w:firstLine="540"/>
        <w:rPr>
          <w:rFonts w:asciiTheme="minorHAnsi" w:hAnsiTheme="minorHAnsi" w:cstheme="minorHAnsi"/>
        </w:rPr>
      </w:pPr>
    </w:p>
    <w:p w14:paraId="42B701F9"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Prašymą priimti prejudicinį sprendimą pateikęs teismas iš esmės siekė sužinoti, ar Direktyva 2006/112</w:t>
      </w:r>
      <w:r w:rsidRPr="0069032F">
        <w:rPr>
          <w:rStyle w:val="Puslapioinaosnuoroda"/>
          <w:rFonts w:asciiTheme="minorHAnsi" w:hAnsiTheme="minorHAnsi" w:cstheme="minorHAnsi"/>
        </w:rPr>
        <w:footnoteReference w:id="6"/>
      </w:r>
      <w:r w:rsidRPr="0069032F">
        <w:rPr>
          <w:rFonts w:asciiTheme="minorHAnsi" w:hAnsiTheme="minorHAnsi" w:cstheme="minorHAnsi"/>
        </w:rPr>
        <w:t xml:space="preserve"> turi būti aiškinama taip, kad turi būti atsisakyta suteikti teisę į sumokėto pirkimo PVM atskaitą ir mokesčių administratorius neturi įrodyti, kad apmokestinamasis asmuo sukčiavo PVM srityje arba žinojo ar turėjo žinoti, kad sandoris, kuriuo jis remiasi, siekdamas pagrįsti teisę į atskaitą, buvo susijęs su tokiu sukčiavimu, kai, nenustačius tikrojo atitinkamų prekių tiekėjo ar paslaugų teikėjo, šis apmokestinamasis asmuo nepateikė įrodymo, kad tas tiekėjas ar teikėjas turėjo apmokestinamojo asmens statusą.</w:t>
      </w:r>
    </w:p>
    <w:p w14:paraId="01D3735F"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 xml:space="preserve">Teisingumo Teismas pirmiausia priminė, kad iš Direktyvos 2006/112 168 straipsnio a punkto matyti, jog tam, kad atitinkamas asmuo galėtų pasinaudoti šia teise, be kita ko, perkamas prekes ar paslaugas (kuriomis grindžiama teisė į atskaitą) turi tiekti ar teikti kitas apmokestinamasis asmuo. </w:t>
      </w:r>
      <w:r w:rsidRPr="0069032F">
        <w:rPr>
          <w:rFonts w:asciiTheme="minorHAnsi" w:hAnsiTheme="minorHAnsi" w:cstheme="minorHAnsi"/>
          <w:u w:val="single"/>
        </w:rPr>
        <w:t>Apmokestinamasis asmuo, besinaudojantis teise į PVM atskaitą, iš esmės turi įrodyti, kad prekių ar paslaugų, dėl kurių įgyvendinama ši teisė, tiekėjas ar teikėjas turėjo apmokestinamojo asmens statusą</w:t>
      </w:r>
      <w:r w:rsidRPr="0069032F">
        <w:rPr>
          <w:rFonts w:asciiTheme="minorHAnsi" w:hAnsiTheme="minorHAnsi" w:cstheme="minorHAnsi"/>
        </w:rPr>
        <w:t xml:space="preserve">. </w:t>
      </w:r>
    </w:p>
    <w:p w14:paraId="27FDA2AF"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Taigi apmokestinamasis asmuo turi pateikti objektyvių įrodymų, kad iš tiesų jam prekes tiekė ar paslaugas teikė apmokestinamasis asmuo dėl jo paties PVM apmokestinamų sandorių, už kuriuos jis iš tiesų sumokėjo PVM. Šie įrodymai gali apimti, be kita ko, tiekėjų ar teikėjų, iš kurių apmokestinamasis asmuo įsigijo prekių ar paslaugų, už kurias sumokėjo PVM, turimus dokumentus.</w:t>
      </w:r>
    </w:p>
    <w:p w14:paraId="4856DCA2"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u w:val="single"/>
        </w:rPr>
        <w:t>Apmokestinamasis asmuo, remdamasis objektyviais įrodymais, turi įrodyti, kad tiekėjas turi apmokestinamojo asmens statusą, nebent mokesčių administratorius turi reikiamų duomenų patikrinti, ar ši materialinė teisės į PVM atskaitą sąlyga yra įvykdyta</w:t>
      </w:r>
      <w:r w:rsidRPr="0069032F">
        <w:rPr>
          <w:rFonts w:asciiTheme="minorHAnsi" w:hAnsiTheme="minorHAnsi" w:cstheme="minorHAnsi"/>
        </w:rPr>
        <w:t>. Tiekėjo ar teikėjo, kaip apmokestinamojo asmens, statusas gali paaiškėti iš konkretaus atvejo aplinkybių. Taip, be kita ko, yra tuo atveju, kai, nors valstybė narė pasinaudojo Direktyvos 2006/112 287 straipsnyje suteikta galimybe atleisti nuo mokesčio apmokestinamuosius asmenis, kurių metinė apyvarta neviršija tam tikros sumos, iš faktinių aplinkybių, kaip antai iš įsigytų prekių ar paslaugų kiekio ir kainos, galima neabejotinai daryti išvadą, kad tiekėjo metinė apyvarta viršija šią sumą, todėl šis tiekėjas negali pasinaudoti šiame straipsnyje numatytu atleidimu nuo mokesčio ir jis būtinai turi apmokestinamojo asmens statusą.</w:t>
      </w:r>
    </w:p>
    <w:p w14:paraId="475B0127"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 xml:space="preserve">Atsisakymas apmokestinamajam asmeniui leisti pasinaudoti teise į PVM atskaitą motyvuojant tuo, kad tikrasis atitinkamų prekių tiekėjas ar paslaugų teikėjas nebuvo nustatytas ir kad šis apmokestinamasis asmuo neįrodė, jog tas tiekėjas ar teikėjas turėjo apmokestinamojo asmens statusą, </w:t>
      </w:r>
      <w:r w:rsidRPr="0069032F">
        <w:rPr>
          <w:rFonts w:asciiTheme="minorHAnsi" w:hAnsiTheme="minorHAnsi" w:cstheme="minorHAnsi"/>
          <w:u w:val="single"/>
        </w:rPr>
        <w:t>nors iš faktinių aplinkybių aiškiai matyti, kad minėtas paslaugų teikėjas būtinai turėjo tokį statusą</w:t>
      </w:r>
      <w:r w:rsidRPr="0069032F">
        <w:rPr>
          <w:rFonts w:asciiTheme="minorHAnsi" w:hAnsiTheme="minorHAnsi" w:cstheme="minorHAnsi"/>
        </w:rPr>
        <w:t>, iš tiesų prieštarautų mokesčių neutralumo principui. Taigi,</w:t>
      </w:r>
      <w:r w:rsidRPr="0069032F">
        <w:rPr>
          <w:rFonts w:asciiTheme="minorHAnsi" w:hAnsiTheme="minorHAnsi" w:cstheme="minorHAnsi"/>
          <w:u w:val="single"/>
        </w:rPr>
        <w:t xml:space="preserve"> negalima reikalauti, kad siekdamas pasinaudoti šia teise apmokestinamasis asmuo visais atvejais įrodytų, jog, kai tikrasis atitinkamų prekių tiekėjas ar paslaugų teikėjas nenustatytas, tas tiekėjas ar teikėjas turi apmokestinamojo asmens statusą</w:t>
      </w:r>
      <w:r w:rsidRPr="0069032F">
        <w:rPr>
          <w:rFonts w:asciiTheme="minorHAnsi" w:hAnsiTheme="minorHAnsi" w:cstheme="minorHAnsi"/>
        </w:rPr>
        <w:t>.</w:t>
      </w:r>
    </w:p>
    <w:p w14:paraId="094807E4" w14:textId="77777777" w:rsidR="008B1BE6" w:rsidRPr="0069032F" w:rsidRDefault="008B1BE6" w:rsidP="008B1BE6">
      <w:pPr>
        <w:tabs>
          <w:tab w:val="left" w:pos="6379"/>
        </w:tabs>
        <w:ind w:firstLine="540"/>
        <w:rPr>
          <w:rFonts w:asciiTheme="minorHAnsi" w:hAnsiTheme="minorHAnsi" w:cstheme="minorHAnsi"/>
        </w:rPr>
      </w:pPr>
      <w:r w:rsidRPr="0069032F">
        <w:rPr>
          <w:rFonts w:asciiTheme="minorHAnsi" w:hAnsiTheme="minorHAnsi" w:cstheme="minorHAnsi"/>
        </w:rPr>
        <w:t xml:space="preserve">Šiomis aplinkybėmis Teisingumo Teismas konstatavo, kad Direktyva 2006/112 aiškintina taip, kad turi būti atsisakyta suteikti teisę į pirkimo PVM atskaitą </w:t>
      </w:r>
      <w:r w:rsidRPr="0069032F">
        <w:rPr>
          <w:rFonts w:asciiTheme="minorHAnsi" w:hAnsiTheme="minorHAnsi" w:cstheme="minorHAnsi"/>
          <w:u w:val="single"/>
        </w:rPr>
        <w:t>ir mokesčių administratorius neturi įrodyti, kad apmokestinamasis asmuo sukčiavo PVM srityje arba kad žinojo ar turėjo žinoti, jog sandoris, kuriuo remiasi, siekdamas pagrįsti teisę į atskaitą, yra susijęs su tokiu sukčiavimu</w:t>
      </w:r>
      <w:r w:rsidRPr="0069032F">
        <w:rPr>
          <w:rFonts w:asciiTheme="minorHAnsi" w:hAnsiTheme="minorHAnsi" w:cstheme="minorHAnsi"/>
        </w:rPr>
        <w:t>, kai, nenustačius tikrojo atitinkamų prekių tiekėjo ar paslaugų teikėjo, šis apmokestinamasis asmuo nepateikia įrodymų, kad tas tiekėjas ar teikėjas turėjo apmokestinamojo asmens statusą, jei, atsižvelgiant į faktines aplinkybes ir nepaisant šio apmokestinamojo asmens pateiktos informacijos, nepakanka reikiamų duomenų patikrinti, ar tikrasis tiekėjas arba teikėjas turėjo minėtą statusą.</w:t>
      </w:r>
    </w:p>
    <w:p w14:paraId="2B637DB0" w14:textId="102D3A7E" w:rsidR="008B1BE6" w:rsidRPr="0069032F" w:rsidRDefault="004D029A" w:rsidP="008B1BE6">
      <w:pPr>
        <w:tabs>
          <w:tab w:val="left" w:pos="6379"/>
        </w:tabs>
        <w:ind w:firstLine="540"/>
        <w:rPr>
          <w:rStyle w:val="Hipersaitas"/>
          <w:rFonts w:asciiTheme="minorHAnsi" w:hAnsiTheme="minorHAnsi" w:cstheme="minorHAnsi"/>
        </w:rPr>
      </w:pPr>
      <w:hyperlink r:id="rId15" w:history="1">
        <w:r w:rsidR="008B1BE6" w:rsidRPr="0069032F">
          <w:rPr>
            <w:rStyle w:val="Hipersaitas"/>
            <w:rFonts w:asciiTheme="minorHAnsi" w:hAnsiTheme="minorHAnsi" w:cstheme="minorHAnsi"/>
          </w:rPr>
          <w:t>Prieiga internete</w:t>
        </w:r>
      </w:hyperlink>
    </w:p>
    <w:p w14:paraId="32299F4F" w14:textId="01D161A2" w:rsidR="00355E7D" w:rsidRPr="0069032F" w:rsidRDefault="00355E7D" w:rsidP="008B1BE6">
      <w:pPr>
        <w:tabs>
          <w:tab w:val="left" w:pos="6379"/>
        </w:tabs>
        <w:ind w:firstLine="540"/>
        <w:rPr>
          <w:rStyle w:val="Hipersaitas"/>
          <w:rFonts w:asciiTheme="minorHAnsi" w:hAnsiTheme="minorHAnsi" w:cstheme="minorHAnsi"/>
        </w:rPr>
      </w:pPr>
    </w:p>
    <w:p w14:paraId="7586A0E7" w14:textId="77777777" w:rsidR="0000058C" w:rsidRPr="0069032F" w:rsidRDefault="0000058C" w:rsidP="00312341">
      <w:pPr>
        <w:pStyle w:val="Antrat1"/>
      </w:pPr>
      <w:bookmarkStart w:id="18" w:name="_Toc105161228"/>
      <w:bookmarkEnd w:id="0"/>
      <w:bookmarkEnd w:id="1"/>
      <w:bookmarkEnd w:id="2"/>
      <w:bookmarkEnd w:id="3"/>
      <w:bookmarkEnd w:id="4"/>
      <w:bookmarkEnd w:id="5"/>
      <w:bookmarkEnd w:id="7"/>
      <w:r w:rsidRPr="00312341">
        <w:t>ĮSISTEIGIMO</w:t>
      </w:r>
      <w:r w:rsidRPr="0069032F">
        <w:t xml:space="preserve"> LAISVĖ</w:t>
      </w:r>
      <w:bookmarkEnd w:id="18"/>
    </w:p>
    <w:p w14:paraId="139AAB92" w14:textId="77777777" w:rsidR="0000058C" w:rsidRPr="00FF0FF7" w:rsidRDefault="0000058C" w:rsidP="00FF0FF7"/>
    <w:p w14:paraId="416ECB1A" w14:textId="12223F7C" w:rsidR="0000058C" w:rsidRPr="0069032F" w:rsidRDefault="0000058C" w:rsidP="00312341">
      <w:pPr>
        <w:pStyle w:val="Antrat1"/>
      </w:pPr>
      <w:bookmarkStart w:id="19" w:name="_Toc105161229"/>
      <w:r w:rsidRPr="0069032F">
        <w:t xml:space="preserve">2021 </w:t>
      </w:r>
      <w:r w:rsidR="00603218" w:rsidRPr="0069032F">
        <w:t>m</w:t>
      </w:r>
      <w:r w:rsidRPr="0069032F">
        <w:t>. liepos 15 d. sprendimas</w:t>
      </w:r>
      <w:r w:rsidR="009062AD" w:rsidRPr="0069032F">
        <w:t xml:space="preserve"> byloje </w:t>
      </w:r>
      <w:r w:rsidR="00A136E2" w:rsidRPr="0069032F">
        <w:rPr>
          <w:i/>
          <w:iCs/>
        </w:rPr>
        <w:t>BEMH ir Conseil national des centres commerciaux</w:t>
      </w:r>
      <w:r w:rsidR="00312341">
        <w:t xml:space="preserve">, </w:t>
      </w:r>
      <w:r w:rsidR="009062AD" w:rsidRPr="0069032F">
        <w:t>C-325/20</w:t>
      </w:r>
      <w:bookmarkEnd w:id="19"/>
      <w:r w:rsidRPr="0069032F">
        <w:t xml:space="preserve"> </w:t>
      </w:r>
    </w:p>
    <w:p w14:paraId="0B9A7CC2" w14:textId="0329ED76" w:rsidR="0000058C" w:rsidRPr="00FF0FF7" w:rsidRDefault="0000058C" w:rsidP="00FF0FF7"/>
    <w:p w14:paraId="7A8773B2" w14:textId="1B8F2D17" w:rsidR="009062AD" w:rsidRPr="0069032F" w:rsidRDefault="009062AD" w:rsidP="009062AD">
      <w:pPr>
        <w:ind w:firstLine="567"/>
        <w:rPr>
          <w:rFonts w:asciiTheme="minorHAnsi" w:eastAsia="Times New Roman" w:hAnsiTheme="minorHAnsi" w:cstheme="minorHAnsi"/>
          <w:color w:val="000000"/>
          <w:lang w:eastAsia="lt-LT"/>
        </w:rPr>
      </w:pPr>
      <w:r w:rsidRPr="0069032F">
        <w:rPr>
          <w:rFonts w:asciiTheme="minorHAnsi" w:eastAsia="Times New Roman" w:hAnsiTheme="minorHAnsi" w:cstheme="minorHAnsi"/>
          <w:color w:val="000000"/>
          <w:lang w:eastAsia="lt-LT"/>
        </w:rPr>
        <w:t xml:space="preserve">Direktyva 2006/123/EB – 14 straipsnio 6 punktas – Įsisteigimo laisvė – Kolegialaus organo išduotas leidimas vykdyti komercinę veiklą – Organas, kurį, be kita ko, sudaro verslo struktūrai atstovaujantys </w:t>
      </w:r>
      <w:r w:rsidRPr="0069032F">
        <w:rPr>
          <w:rFonts w:asciiTheme="minorHAnsi" w:eastAsia="Times New Roman" w:hAnsiTheme="minorHAnsi" w:cstheme="minorHAnsi"/>
          <w:color w:val="000000"/>
          <w:lang w:eastAsia="lt-LT"/>
        </w:rPr>
        <w:lastRenderedPageBreak/>
        <w:t>kvalifikuoti asmenys – Asmenys, kurie gali būti su prašymą išduoti leidimą pateikusiu asmeniu konkuruojančiais ūkio subjektais arba atstovauti tokiems subjektams – Draudimas</w:t>
      </w:r>
    </w:p>
    <w:p w14:paraId="5EC181AD" w14:textId="4098BE23" w:rsidR="009062AD" w:rsidRPr="0069032F" w:rsidRDefault="009062AD" w:rsidP="009062AD">
      <w:pPr>
        <w:ind w:firstLine="567"/>
        <w:rPr>
          <w:rFonts w:asciiTheme="minorHAnsi" w:eastAsia="Times New Roman" w:hAnsiTheme="minorHAnsi" w:cstheme="minorHAnsi"/>
          <w:color w:val="000000"/>
          <w:lang w:eastAsia="lt-LT"/>
        </w:rPr>
      </w:pPr>
    </w:p>
    <w:p w14:paraId="5DEE0577" w14:textId="77777777" w:rsidR="009062AD" w:rsidRPr="0069032F" w:rsidRDefault="009062AD" w:rsidP="009062AD">
      <w:pPr>
        <w:pStyle w:val="c71indicateur"/>
        <w:tabs>
          <w:tab w:val="left" w:pos="142"/>
          <w:tab w:val="left" w:pos="567"/>
        </w:tabs>
        <w:spacing w:before="0" w:beforeAutospacing="0" w:after="0" w:afterAutospacing="0"/>
        <w:jc w:val="center"/>
        <w:rPr>
          <w:rFonts w:asciiTheme="minorHAnsi" w:hAnsiTheme="minorHAnsi" w:cstheme="minorHAnsi"/>
          <w:b/>
          <w:color w:val="000000"/>
          <w:sz w:val="22"/>
          <w:szCs w:val="22"/>
        </w:rPr>
      </w:pPr>
      <w:r w:rsidRPr="0069032F">
        <w:rPr>
          <w:rFonts w:asciiTheme="minorHAnsi" w:hAnsiTheme="minorHAnsi" w:cstheme="minorHAnsi"/>
          <w:b/>
          <w:color w:val="000000"/>
          <w:sz w:val="22"/>
          <w:szCs w:val="22"/>
        </w:rPr>
        <w:t>Bylos aplinkybės</w:t>
      </w:r>
    </w:p>
    <w:p w14:paraId="0F54859E" w14:textId="77777777" w:rsidR="009062AD" w:rsidRPr="0069032F" w:rsidRDefault="009062AD" w:rsidP="009062AD">
      <w:pPr>
        <w:pStyle w:val="c71indicateur"/>
        <w:spacing w:before="0" w:beforeAutospacing="0" w:after="0" w:afterAutospacing="0"/>
        <w:ind w:firstLine="567"/>
        <w:jc w:val="both"/>
        <w:rPr>
          <w:rFonts w:asciiTheme="minorHAnsi" w:hAnsiTheme="minorHAnsi" w:cstheme="minorHAnsi"/>
          <w:color w:val="000000"/>
          <w:sz w:val="22"/>
          <w:szCs w:val="22"/>
        </w:rPr>
      </w:pPr>
    </w:p>
    <w:p w14:paraId="0647D154" w14:textId="485A52DD" w:rsidR="006E487B" w:rsidRPr="0069032F" w:rsidRDefault="006E487B" w:rsidP="00D23679">
      <w:pPr>
        <w:ind w:firstLine="567"/>
        <w:rPr>
          <w:rFonts w:asciiTheme="minorHAnsi" w:eastAsia="Times New Roman" w:hAnsiTheme="minorHAnsi" w:cstheme="minorHAnsi"/>
          <w:color w:val="000000"/>
          <w:lang w:eastAsia="lt-LT"/>
        </w:rPr>
      </w:pPr>
      <w:r w:rsidRPr="0069032F">
        <w:rPr>
          <w:rFonts w:asciiTheme="minorHAnsi" w:eastAsia="Times New Roman" w:hAnsiTheme="minorHAnsi" w:cstheme="minorHAnsi"/>
          <w:color w:val="000000"/>
          <w:lang w:eastAsia="lt-LT"/>
        </w:rPr>
        <w:t>BEMH ir Conseil national des centres commerciaux (Nacionalinė prekybos centrų taryba, toliau – CNCC) inicij</w:t>
      </w:r>
      <w:r w:rsidR="00EA2CF5" w:rsidRPr="0069032F">
        <w:rPr>
          <w:rFonts w:asciiTheme="minorHAnsi" w:eastAsia="Times New Roman" w:hAnsiTheme="minorHAnsi" w:cstheme="minorHAnsi"/>
          <w:color w:val="000000"/>
          <w:lang w:eastAsia="lt-LT"/>
        </w:rPr>
        <w:t xml:space="preserve">avo </w:t>
      </w:r>
      <w:r w:rsidRPr="0069032F">
        <w:rPr>
          <w:rFonts w:asciiTheme="minorHAnsi" w:eastAsia="Times New Roman" w:hAnsiTheme="minorHAnsi" w:cstheme="minorHAnsi"/>
          <w:color w:val="000000"/>
          <w:lang w:eastAsia="lt-LT"/>
        </w:rPr>
        <w:t>bylas, susijusias, be kita ko, su</w:t>
      </w:r>
      <w:r w:rsidR="00EA2CF5" w:rsidRPr="0069032F">
        <w:rPr>
          <w:rFonts w:asciiTheme="minorHAnsi" w:eastAsia="Times New Roman" w:hAnsiTheme="minorHAnsi" w:cstheme="minorHAnsi"/>
          <w:color w:val="000000"/>
          <w:lang w:eastAsia="lt-LT"/>
        </w:rPr>
        <w:t xml:space="preserve"> </w:t>
      </w:r>
      <w:r w:rsidRPr="0069032F">
        <w:rPr>
          <w:rFonts w:asciiTheme="minorHAnsi" w:eastAsia="Times New Roman" w:hAnsiTheme="minorHAnsi" w:cstheme="minorHAnsi"/>
          <w:color w:val="000000"/>
          <w:lang w:eastAsia="lt-LT"/>
        </w:rPr>
        <w:t>Dekreto Nr. 2019-331 dėl departamentų komercinio planavimo komisijų sudėties ir veiklos ir dėl prašymų išduoti leidimą vykdyti komercinę veiklą</w:t>
      </w:r>
      <w:r w:rsidR="00D92CD8" w:rsidRPr="0069032F">
        <w:rPr>
          <w:rFonts w:asciiTheme="minorHAnsi" w:eastAsia="Times New Roman" w:hAnsiTheme="minorHAnsi" w:cstheme="minorHAnsi"/>
          <w:color w:val="000000"/>
          <w:lang w:eastAsia="lt-LT"/>
        </w:rPr>
        <w:t xml:space="preserve">, </w:t>
      </w:r>
      <w:r w:rsidRPr="0069032F">
        <w:rPr>
          <w:rFonts w:asciiTheme="minorHAnsi" w:eastAsia="Times New Roman" w:hAnsiTheme="minorHAnsi" w:cstheme="minorHAnsi"/>
          <w:color w:val="000000"/>
          <w:lang w:eastAsia="lt-LT"/>
        </w:rPr>
        <w:t>teisėtumu.</w:t>
      </w:r>
      <w:r w:rsidR="00D23679" w:rsidRPr="0069032F">
        <w:rPr>
          <w:rFonts w:asciiTheme="minorHAnsi" w:eastAsia="Times New Roman" w:hAnsiTheme="minorHAnsi" w:cstheme="minorHAnsi"/>
          <w:color w:val="000000"/>
          <w:lang w:eastAsia="lt-LT"/>
        </w:rPr>
        <w:t xml:space="preserve"> </w:t>
      </w:r>
      <w:r w:rsidR="00D92CD8" w:rsidRPr="0069032F">
        <w:rPr>
          <w:rFonts w:asciiTheme="minorHAnsi" w:eastAsia="Times New Roman" w:hAnsiTheme="minorHAnsi" w:cstheme="minorHAnsi"/>
          <w:color w:val="000000"/>
          <w:lang w:eastAsia="lt-LT"/>
        </w:rPr>
        <w:t xml:space="preserve">Departamentų komercinio planavimo komisija (toliau – </w:t>
      </w:r>
      <w:r w:rsidRPr="0069032F">
        <w:rPr>
          <w:rFonts w:asciiTheme="minorHAnsi" w:eastAsia="Times New Roman" w:hAnsiTheme="minorHAnsi" w:cstheme="minorHAnsi"/>
          <w:color w:val="000000"/>
          <w:lang w:eastAsia="lt-LT"/>
        </w:rPr>
        <w:t>DKPK</w:t>
      </w:r>
      <w:r w:rsidR="00D92CD8" w:rsidRPr="0069032F">
        <w:rPr>
          <w:rFonts w:asciiTheme="minorHAnsi" w:eastAsia="Times New Roman" w:hAnsiTheme="minorHAnsi" w:cstheme="minorHAnsi"/>
          <w:color w:val="000000"/>
          <w:lang w:eastAsia="lt-LT"/>
        </w:rPr>
        <w:t>)</w:t>
      </w:r>
      <w:r w:rsidRPr="0069032F">
        <w:rPr>
          <w:rFonts w:asciiTheme="minorHAnsi" w:eastAsia="Times New Roman" w:hAnsiTheme="minorHAnsi" w:cstheme="minorHAnsi"/>
          <w:color w:val="000000"/>
          <w:lang w:eastAsia="lt-LT"/>
        </w:rPr>
        <w:t xml:space="preserve"> yra kolegialus organas, priimantis sprendimus, be kita ko, dėl prašymų išduoti leidimą vykdyti komercinę veiklą, susijusius su mažmeninės prekybos parduotuvių arba prekybos centrų, kurių prekybos plotas viršija 1 000 m², atidarymo ar plėtros projektais.</w:t>
      </w:r>
      <w:r w:rsidR="00D92CD8" w:rsidRPr="0069032F">
        <w:rPr>
          <w:rFonts w:asciiTheme="minorHAnsi" w:eastAsia="Times New Roman" w:hAnsiTheme="minorHAnsi" w:cstheme="minorHAnsi"/>
          <w:color w:val="000000"/>
          <w:lang w:eastAsia="lt-LT"/>
        </w:rPr>
        <w:t xml:space="preserve"> P</w:t>
      </w:r>
      <w:r w:rsidRPr="0069032F">
        <w:rPr>
          <w:rFonts w:asciiTheme="minorHAnsi" w:eastAsia="Times New Roman" w:hAnsiTheme="minorHAnsi" w:cstheme="minorHAnsi"/>
          <w:color w:val="000000"/>
          <w:lang w:eastAsia="lt-LT"/>
        </w:rPr>
        <w:t>agal Prekybos kodeks</w:t>
      </w:r>
      <w:r w:rsidR="00D92CD8" w:rsidRPr="0069032F">
        <w:rPr>
          <w:rFonts w:asciiTheme="minorHAnsi" w:eastAsia="Times New Roman" w:hAnsiTheme="minorHAnsi" w:cstheme="minorHAnsi"/>
          <w:color w:val="000000"/>
          <w:lang w:eastAsia="lt-LT"/>
        </w:rPr>
        <w:t xml:space="preserve">ą </w:t>
      </w:r>
      <w:r w:rsidRPr="0069032F">
        <w:rPr>
          <w:rFonts w:asciiTheme="minorHAnsi" w:eastAsia="Times New Roman" w:hAnsiTheme="minorHAnsi" w:cstheme="minorHAnsi"/>
          <w:color w:val="000000"/>
          <w:lang w:eastAsia="lt-LT"/>
        </w:rPr>
        <w:t xml:space="preserve">DPKP sudaro, be kita ko, verslo struktūrai atstovaujantys kvalifikuoti asmenys, kuriuos paskiria Prekybos ir pramonės rūmai, Profesijų ir amatų rūmai ir Žemės ūkio rūmai. </w:t>
      </w:r>
      <w:r w:rsidR="00D23679" w:rsidRPr="0069032F">
        <w:rPr>
          <w:rFonts w:asciiTheme="minorHAnsi" w:eastAsia="Times New Roman" w:hAnsiTheme="minorHAnsi" w:cstheme="minorHAnsi"/>
          <w:color w:val="000000"/>
          <w:lang w:eastAsia="lt-LT"/>
        </w:rPr>
        <w:t xml:space="preserve">Pagal tą patį nacionalinį teisės aktą </w:t>
      </w:r>
      <w:r w:rsidRPr="0069032F">
        <w:rPr>
          <w:rFonts w:asciiTheme="minorHAnsi" w:eastAsia="Times New Roman" w:hAnsiTheme="minorHAnsi" w:cstheme="minorHAnsi"/>
          <w:color w:val="000000"/>
          <w:lang w:eastAsia="lt-LT"/>
        </w:rPr>
        <w:t>šie asmenys „pristato“ verslo struktūros padėtį atitinkamoje traukos zonoje, tam tikro projekto poveikį šiai verslo struktūrai ir nedalyvauja balsuojant dėl prašymo išduoti leidimą.</w:t>
      </w:r>
    </w:p>
    <w:p w14:paraId="4C29B1CA" w14:textId="7696737D" w:rsidR="00D23679" w:rsidRPr="0069032F" w:rsidRDefault="00D23679" w:rsidP="00D23679">
      <w:pPr>
        <w:ind w:firstLine="567"/>
        <w:rPr>
          <w:rFonts w:asciiTheme="minorHAnsi" w:eastAsia="Times New Roman" w:hAnsiTheme="minorHAnsi" w:cstheme="minorHAnsi"/>
          <w:color w:val="000000"/>
          <w:lang w:eastAsia="lt-LT"/>
        </w:rPr>
      </w:pPr>
    </w:p>
    <w:p w14:paraId="240ABA19" w14:textId="77777777" w:rsidR="00D23679" w:rsidRPr="0069032F" w:rsidRDefault="00D23679" w:rsidP="00D23679">
      <w:pPr>
        <w:jc w:val="center"/>
        <w:rPr>
          <w:rFonts w:asciiTheme="minorHAnsi" w:eastAsia="Times New Roman" w:hAnsiTheme="minorHAnsi" w:cstheme="minorHAnsi"/>
          <w:b/>
          <w:color w:val="000000"/>
          <w:lang w:eastAsia="lt-LT"/>
        </w:rPr>
      </w:pPr>
      <w:r w:rsidRPr="0069032F">
        <w:rPr>
          <w:rFonts w:asciiTheme="minorHAnsi" w:eastAsia="Times New Roman" w:hAnsiTheme="minorHAnsi" w:cstheme="minorHAnsi"/>
          <w:b/>
          <w:color w:val="000000"/>
          <w:lang w:eastAsia="lt-LT"/>
        </w:rPr>
        <w:t>Teisingumo Teismo vertinimas</w:t>
      </w:r>
    </w:p>
    <w:p w14:paraId="04D96BD7" w14:textId="4A922441" w:rsidR="00D23679" w:rsidRPr="0069032F" w:rsidRDefault="00D23679" w:rsidP="00D23679">
      <w:pPr>
        <w:ind w:firstLine="567"/>
        <w:rPr>
          <w:rFonts w:asciiTheme="minorHAnsi" w:eastAsia="Times New Roman" w:hAnsiTheme="minorHAnsi" w:cstheme="minorHAnsi"/>
          <w:color w:val="000000"/>
          <w:lang w:eastAsia="lt-LT"/>
        </w:rPr>
      </w:pPr>
    </w:p>
    <w:p w14:paraId="4F555CE3" w14:textId="4C9E1D65" w:rsidR="00D23679" w:rsidRPr="00312341" w:rsidRDefault="00D23679" w:rsidP="00312341">
      <w:pPr>
        <w:pStyle w:val="Antrat3"/>
        <w:tabs>
          <w:tab w:val="clear" w:pos="567"/>
          <w:tab w:val="left" w:pos="426"/>
        </w:tabs>
        <w:ind w:firstLine="567"/>
      </w:pPr>
      <w:bookmarkStart w:id="20" w:name="_Toc105161230"/>
      <w:r w:rsidRPr="00312341">
        <w:t>Dėl kolegialaus organo, turinčio kompetenciją teikti nuomonę dėl leidimo vykdyti komercinę veiklą išdavimo</w:t>
      </w:r>
      <w:bookmarkEnd w:id="20"/>
    </w:p>
    <w:p w14:paraId="62410C3A" w14:textId="747EEDBA" w:rsidR="003952D8" w:rsidRPr="0069032F" w:rsidRDefault="003952D8" w:rsidP="00D23679">
      <w:pPr>
        <w:ind w:firstLine="567"/>
        <w:rPr>
          <w:rFonts w:asciiTheme="minorHAnsi" w:eastAsia="Times New Roman" w:hAnsiTheme="minorHAnsi" w:cstheme="minorHAnsi"/>
          <w:i/>
          <w:iCs/>
          <w:color w:val="000000"/>
          <w:lang w:eastAsia="lt-LT"/>
        </w:rPr>
      </w:pPr>
    </w:p>
    <w:p w14:paraId="42EAAC23" w14:textId="00359E71" w:rsidR="001D56AE" w:rsidRPr="0069032F" w:rsidRDefault="003952D8" w:rsidP="001D56AE">
      <w:pPr>
        <w:ind w:firstLine="567"/>
        <w:rPr>
          <w:rFonts w:asciiTheme="minorHAnsi" w:hAnsiTheme="minorHAnsi" w:cstheme="minorHAnsi"/>
          <w:color w:val="000000"/>
        </w:rPr>
      </w:pPr>
      <w:r w:rsidRPr="0069032F">
        <w:rPr>
          <w:rFonts w:asciiTheme="minorHAnsi" w:hAnsiTheme="minorHAnsi" w:cstheme="minorHAnsi"/>
          <w:color w:val="000000"/>
        </w:rPr>
        <w:t>Iš Direktyvos 2006/123</w:t>
      </w:r>
      <w:r w:rsidRPr="0069032F">
        <w:rPr>
          <w:rStyle w:val="Puslapioinaosnuoroda"/>
          <w:rFonts w:asciiTheme="minorHAnsi" w:hAnsiTheme="minorHAnsi" w:cstheme="minorHAnsi"/>
          <w:color w:val="000000"/>
        </w:rPr>
        <w:footnoteReference w:id="7"/>
      </w:r>
      <w:r w:rsidRPr="0069032F">
        <w:rPr>
          <w:rFonts w:asciiTheme="minorHAnsi" w:hAnsiTheme="minorHAnsi" w:cstheme="minorHAnsi"/>
          <w:color w:val="000000"/>
        </w:rPr>
        <w:t xml:space="preserve"> 14 straipsnio 6 punkto</w:t>
      </w:r>
      <w:r w:rsidRPr="0069032F">
        <w:rPr>
          <w:rStyle w:val="Puslapioinaosnuoroda"/>
          <w:rFonts w:asciiTheme="minorHAnsi" w:hAnsiTheme="minorHAnsi" w:cstheme="minorHAnsi"/>
          <w:color w:val="000000"/>
        </w:rPr>
        <w:footnoteReference w:id="8"/>
      </w:r>
      <w:r w:rsidRPr="0069032F">
        <w:rPr>
          <w:rFonts w:asciiTheme="minorHAnsi" w:hAnsiTheme="minorHAnsi" w:cstheme="minorHAnsi"/>
          <w:color w:val="000000"/>
        </w:rPr>
        <w:t xml:space="preserve"> formuluotės</w:t>
      </w:r>
      <w:r w:rsidR="0077079F" w:rsidRPr="0069032F">
        <w:rPr>
          <w:rFonts w:asciiTheme="minorHAnsi" w:hAnsiTheme="minorHAnsi" w:cstheme="minorHAnsi"/>
          <w:color w:val="000000"/>
        </w:rPr>
        <w:t xml:space="preserve"> </w:t>
      </w:r>
      <w:r w:rsidR="001D56AE" w:rsidRPr="0069032F">
        <w:rPr>
          <w:rFonts w:asciiTheme="minorHAnsi" w:hAnsiTheme="minorHAnsi" w:cstheme="minorHAnsi"/>
          <w:color w:val="000000"/>
        </w:rPr>
        <w:t>matyti, kad jame numatytas draudimas suformuluotas plačiai ir gali apimti bet kokį ūkio subjektų, konkuruojančių su prašymą išduoti leidimą vykdyti komercinę veiklą pateikusiu asmeniu, dalyvavimą (nesusijusį su profesinėmis įstaigomis ir asociacijomis ar kitomis organizacijomis, veikiančiomis kaip kompetentinga institucija), tiesioginį ar netiesioginį, įskaitant konsultacinių organų veikloje, kai nagrinėjamas klausimas dėl tokio leidimo išdavimo.</w:t>
      </w:r>
    </w:p>
    <w:p w14:paraId="5AC45450" w14:textId="3C54FFB4" w:rsidR="001D56AE" w:rsidRPr="0069032F" w:rsidRDefault="001D56AE" w:rsidP="001D56AE">
      <w:pPr>
        <w:ind w:firstLine="567"/>
        <w:rPr>
          <w:rFonts w:asciiTheme="minorHAnsi" w:hAnsiTheme="minorHAnsi" w:cstheme="minorHAnsi"/>
          <w:color w:val="000000"/>
        </w:rPr>
      </w:pPr>
      <w:r w:rsidRPr="0069032F">
        <w:rPr>
          <w:rFonts w:asciiTheme="minorHAnsi" w:hAnsiTheme="minorHAnsi" w:cstheme="minorHAnsi"/>
          <w:color w:val="000000"/>
        </w:rPr>
        <w:t xml:space="preserve">Prašymą išduoti leidimą vykdyti komercinę veiklą pateikusio asmens konkurentų daromas poveikis sprendimų priėmimo procesui, net jeigu jie nebalsuoja dėl prašymo išduoti leidimą, gali trukdyti pasinaudoti </w:t>
      </w:r>
      <w:r w:rsidR="0077079F" w:rsidRPr="0069032F">
        <w:rPr>
          <w:rFonts w:asciiTheme="minorHAnsi" w:hAnsiTheme="minorHAnsi" w:cstheme="minorHAnsi"/>
          <w:color w:val="000000"/>
        </w:rPr>
        <w:t xml:space="preserve">įsisteigimo laisve ir laisvu paslaugų judėjimu </w:t>
      </w:r>
      <w:r w:rsidRPr="0069032F">
        <w:rPr>
          <w:rFonts w:asciiTheme="minorHAnsi" w:hAnsiTheme="minorHAnsi" w:cstheme="minorHAnsi"/>
          <w:color w:val="000000"/>
        </w:rPr>
        <w:t xml:space="preserve">arba padaryti naudojimąsi </w:t>
      </w:r>
      <w:r w:rsidR="0077079F" w:rsidRPr="0069032F">
        <w:rPr>
          <w:rFonts w:asciiTheme="minorHAnsi" w:hAnsiTheme="minorHAnsi" w:cstheme="minorHAnsi"/>
          <w:color w:val="000000"/>
        </w:rPr>
        <w:t xml:space="preserve">šiomis laisvėmis </w:t>
      </w:r>
      <w:r w:rsidRPr="0069032F">
        <w:rPr>
          <w:rFonts w:asciiTheme="minorHAnsi" w:hAnsiTheme="minorHAnsi" w:cstheme="minorHAnsi"/>
          <w:color w:val="000000"/>
        </w:rPr>
        <w:t xml:space="preserve">mažiau patrauklų. </w:t>
      </w:r>
      <w:r w:rsidR="0077079F" w:rsidRPr="0069032F">
        <w:rPr>
          <w:rFonts w:asciiTheme="minorHAnsi" w:hAnsiTheme="minorHAnsi" w:cstheme="minorHAnsi"/>
          <w:color w:val="000000"/>
        </w:rPr>
        <w:t>K</w:t>
      </w:r>
      <w:r w:rsidRPr="0069032F">
        <w:rPr>
          <w:rFonts w:asciiTheme="minorHAnsi" w:hAnsiTheme="minorHAnsi" w:cstheme="minorHAnsi"/>
          <w:color w:val="000000"/>
        </w:rPr>
        <w:t>onkurentai galėtų mėginti vilkinti reikiamų sprendimų priėmimą, skatinti pernelyg didelių apribojimų nustatymą arba gauti konkurencijos požiūriu svarbios informacijos. Taigi iš Direktyvos 2006/123 14</w:t>
      </w:r>
      <w:r w:rsidR="00D25B80" w:rsidRPr="0069032F">
        <w:rPr>
          <w:rFonts w:asciiTheme="minorHAnsi" w:hAnsiTheme="minorHAnsi" w:cstheme="minorHAnsi"/>
          <w:color w:val="000000"/>
        </w:rPr>
        <w:t xml:space="preserve"> </w:t>
      </w:r>
      <w:r w:rsidRPr="0069032F">
        <w:rPr>
          <w:rFonts w:asciiTheme="minorHAnsi" w:hAnsiTheme="minorHAnsi" w:cstheme="minorHAnsi"/>
          <w:color w:val="000000"/>
        </w:rPr>
        <w:t>straipsnio 6</w:t>
      </w:r>
      <w:r w:rsidR="00D25B80" w:rsidRPr="0069032F">
        <w:rPr>
          <w:rFonts w:asciiTheme="minorHAnsi" w:hAnsiTheme="minorHAnsi" w:cstheme="minorHAnsi"/>
          <w:color w:val="000000"/>
        </w:rPr>
        <w:t xml:space="preserve"> </w:t>
      </w:r>
      <w:r w:rsidRPr="0069032F">
        <w:rPr>
          <w:rFonts w:asciiTheme="minorHAnsi" w:hAnsiTheme="minorHAnsi" w:cstheme="minorHAnsi"/>
          <w:color w:val="000000"/>
        </w:rPr>
        <w:t xml:space="preserve">punkto pažodinio, kontekstinio ir teleologinio aiškinimo matyti, kad </w:t>
      </w:r>
      <w:r w:rsidRPr="0069032F">
        <w:rPr>
          <w:rFonts w:asciiTheme="minorHAnsi" w:hAnsiTheme="minorHAnsi" w:cstheme="minorHAnsi"/>
          <w:color w:val="000000"/>
          <w:u w:val="single"/>
        </w:rPr>
        <w:t>šioje nuostatoje numatytas draudimas taikomas tiek potencialiems prašymą išduoti leidimą vykdyti komercinę veiklą pateikusio asmens konkurentams, tiek su šiuo asmeniu konkuruojantiems ūkio subjektams ar tokių konkurentų atstovams, kurie, nors tiesiogiai nedalyvauja balsuojant dėl prašymo išduoti leidimą, yra šiuo klausimu kompetentingo kolegialaus organo nariai, todėl dalyvauja išduodant šį leidimą</w:t>
      </w:r>
      <w:r w:rsidRPr="0069032F">
        <w:rPr>
          <w:rFonts w:asciiTheme="minorHAnsi" w:hAnsiTheme="minorHAnsi" w:cstheme="minorHAnsi"/>
          <w:color w:val="000000"/>
        </w:rPr>
        <w:t>. Priešingai nei kitos Direktyvos 2006/123 nuostatos, jos 14 straipsnyje išvardyti reikalavimai negali būti pateisinti.</w:t>
      </w:r>
    </w:p>
    <w:p w14:paraId="03E11316" w14:textId="3A86460A" w:rsidR="007A1F53" w:rsidRPr="0069032F" w:rsidRDefault="007A1F53" w:rsidP="001D56AE">
      <w:pPr>
        <w:ind w:firstLine="567"/>
        <w:rPr>
          <w:rFonts w:asciiTheme="minorHAnsi" w:hAnsiTheme="minorHAnsi" w:cstheme="minorHAnsi"/>
          <w:color w:val="000000"/>
        </w:rPr>
      </w:pPr>
      <w:r w:rsidRPr="0069032F">
        <w:rPr>
          <w:rFonts w:asciiTheme="minorHAnsi" w:hAnsiTheme="minorHAnsi" w:cstheme="minorHAnsi"/>
          <w:color w:val="000000"/>
        </w:rPr>
        <w:t xml:space="preserve"> Pagal Direktyvos 2006/123 14 straipsnio 6 punkte numatytą draudimą, be kita ko, draudžiama priimti sprendimą išduoti leidimą vykdyti komercinę veiklą po to, kai verslo struktūrai atitinkamoje traukos zonoje atstovaujantys kvalifikuoti asmenys pristato šios verslo struktūros padėtį ir atitinkamo projekto poveikį šiai struktūrai. Tiek, kiek šie asmenys gali bent netiesiogiai dalyvauti išduodant leidimą vykdyti komercinę veiklą, jų veikla gali būti kvalifikuojama kaip dalyvavimas „išduodant leidimus“, kaip tai </w:t>
      </w:r>
      <w:r w:rsidRPr="0069032F">
        <w:rPr>
          <w:rFonts w:asciiTheme="minorHAnsi" w:hAnsiTheme="minorHAnsi" w:cstheme="minorHAnsi"/>
          <w:color w:val="000000"/>
        </w:rPr>
        <w:lastRenderedPageBreak/>
        <w:t>suprantama pagal Direktyvos 2006/123 14 straipsnio 6 punktą.</w:t>
      </w:r>
      <w:r w:rsidR="0077079F" w:rsidRPr="0069032F">
        <w:rPr>
          <w:rFonts w:asciiTheme="minorHAnsi" w:hAnsiTheme="minorHAnsi" w:cstheme="minorHAnsi"/>
          <w:color w:val="000000"/>
        </w:rPr>
        <w:t xml:space="preserve"> </w:t>
      </w:r>
      <w:r w:rsidRPr="0069032F">
        <w:rPr>
          <w:rFonts w:asciiTheme="minorHAnsi" w:hAnsiTheme="minorHAnsi" w:cstheme="minorHAnsi"/>
          <w:color w:val="000000"/>
        </w:rPr>
        <w:t>Be to,</w:t>
      </w:r>
      <w:r w:rsidR="0077079F" w:rsidRPr="0069032F">
        <w:rPr>
          <w:rFonts w:asciiTheme="minorHAnsi" w:hAnsiTheme="minorHAnsi" w:cstheme="minorHAnsi"/>
          <w:color w:val="000000"/>
        </w:rPr>
        <w:t xml:space="preserve"> </w:t>
      </w:r>
      <w:r w:rsidRPr="0069032F">
        <w:rPr>
          <w:rFonts w:asciiTheme="minorHAnsi" w:hAnsiTheme="minorHAnsi" w:cstheme="minorHAnsi"/>
          <w:color w:val="000000"/>
        </w:rPr>
        <w:t>atitinkamos traukos zonos verslo struktūrai atstovaujantys kvalifikuoti asmenys gali, be kita ko, siekti prašymą išduoti leidimą vykdyti komercinę veiklą pateikusių asmenų esamų ar potencialių konkurentų interesų įgyvendinimo, jei pastarieji dalyvauja skiriant šiuos asme</w:t>
      </w:r>
      <w:r w:rsidR="005B2B8F" w:rsidRPr="0069032F">
        <w:rPr>
          <w:rFonts w:asciiTheme="minorHAnsi" w:hAnsiTheme="minorHAnsi" w:cstheme="minorHAnsi"/>
          <w:color w:val="000000"/>
        </w:rPr>
        <w:t>ni</w:t>
      </w:r>
      <w:r w:rsidRPr="0069032F">
        <w:rPr>
          <w:rFonts w:asciiTheme="minorHAnsi" w:hAnsiTheme="minorHAnsi" w:cstheme="minorHAnsi"/>
          <w:color w:val="000000"/>
        </w:rPr>
        <w:t>s.</w:t>
      </w:r>
      <w:r w:rsidR="005B2B8F" w:rsidRPr="0069032F">
        <w:rPr>
          <w:rFonts w:asciiTheme="minorHAnsi" w:hAnsiTheme="minorHAnsi" w:cstheme="minorHAnsi"/>
          <w:color w:val="000000"/>
        </w:rPr>
        <w:t xml:space="preserve"> T</w:t>
      </w:r>
      <w:r w:rsidRPr="0069032F">
        <w:rPr>
          <w:rFonts w:asciiTheme="minorHAnsi" w:hAnsiTheme="minorHAnsi" w:cstheme="minorHAnsi"/>
          <w:color w:val="000000"/>
        </w:rPr>
        <w:t>aigi</w:t>
      </w:r>
      <w:r w:rsidR="005B2B8F" w:rsidRPr="0069032F">
        <w:rPr>
          <w:rFonts w:asciiTheme="minorHAnsi" w:hAnsiTheme="minorHAnsi" w:cstheme="minorHAnsi"/>
          <w:color w:val="000000"/>
        </w:rPr>
        <w:t xml:space="preserve"> </w:t>
      </w:r>
      <w:r w:rsidRPr="0069032F">
        <w:rPr>
          <w:rFonts w:asciiTheme="minorHAnsi" w:hAnsiTheme="minorHAnsi" w:cstheme="minorHAnsi"/>
          <w:color w:val="000000"/>
        </w:rPr>
        <w:t>tokie asmenys gali būti bent jau esamų ar potencialių prašymą išduoti leidimą vykdyti komercinę veiklą pateikusio asmens konkurentų atstovai, todėl jų vaidmuo leidimų išdavimo procedūroje gali patekti į sąvoką „tiesioginis ar netiesioginis konkuruojančių subjektų dalyvavimas“, kaip tai suprantama pagal Direktyvos 2006/123 14 straipsnio 6 punktą.</w:t>
      </w:r>
    </w:p>
    <w:p w14:paraId="39D8131B" w14:textId="5CAE8E67" w:rsidR="007A1F53" w:rsidRPr="0069032F" w:rsidRDefault="00E60008" w:rsidP="001D56AE">
      <w:pPr>
        <w:ind w:firstLine="567"/>
        <w:rPr>
          <w:rFonts w:asciiTheme="minorHAnsi" w:hAnsiTheme="minorHAnsi" w:cstheme="minorHAnsi"/>
          <w:color w:val="000000"/>
        </w:rPr>
      </w:pPr>
      <w:r w:rsidRPr="0069032F">
        <w:rPr>
          <w:rFonts w:asciiTheme="minorHAnsi" w:hAnsiTheme="minorHAnsi" w:cstheme="minorHAnsi"/>
          <w:color w:val="000000"/>
        </w:rPr>
        <w:t xml:space="preserve">Teisingumo Teismas konstatavo, kad </w:t>
      </w:r>
      <w:r w:rsidR="007A1F53" w:rsidRPr="0069032F">
        <w:rPr>
          <w:rFonts w:asciiTheme="minorHAnsi" w:hAnsiTheme="minorHAnsi" w:cstheme="minorHAnsi"/>
          <w:color w:val="000000"/>
        </w:rPr>
        <w:t>Direktyvos 2006/123 14</w:t>
      </w:r>
      <w:r w:rsidRPr="0069032F">
        <w:rPr>
          <w:rFonts w:asciiTheme="minorHAnsi" w:hAnsiTheme="minorHAnsi" w:cstheme="minorHAnsi"/>
          <w:color w:val="000000"/>
        </w:rPr>
        <w:t xml:space="preserve"> </w:t>
      </w:r>
      <w:r w:rsidR="007A1F53" w:rsidRPr="0069032F">
        <w:rPr>
          <w:rFonts w:asciiTheme="minorHAnsi" w:hAnsiTheme="minorHAnsi" w:cstheme="minorHAnsi"/>
          <w:color w:val="000000"/>
        </w:rPr>
        <w:t xml:space="preserve">straipsnio 6 punktas turi būti aiškinamas taip, kad pagal jį </w:t>
      </w:r>
      <w:r w:rsidR="007A1F53" w:rsidRPr="0069032F">
        <w:rPr>
          <w:rFonts w:asciiTheme="minorHAnsi" w:hAnsiTheme="minorHAnsi" w:cstheme="minorHAnsi"/>
          <w:color w:val="000000"/>
          <w:u w:val="single"/>
        </w:rPr>
        <w:t>draudžiami nacionalinės teisės aktai, kuriuose numatyta, kad kolegialų organą, turintį kompetenciją teikti nuomonę dėl leidimo vykdyti komercinę veiklą išdavimo, gali sudaryti atitinkamos traukos zonos verslo struktūrai atstovaujantys kvalifikuoti asmenys, net ir tais atvejais, kai šie asmenys nedalyvauja balsuojant dėl prašymo išduoti leidimą ir tik pristato šios verslo struktūros padėtį ir atitinkamo projekto poveikį šiai struktūrai, jei esami ar potencialūs prašymą pateikusio asmens konkurentai dalyvauja skiriant minėtus asmenis</w:t>
      </w:r>
      <w:r w:rsidR="007A1F53" w:rsidRPr="0069032F">
        <w:rPr>
          <w:rFonts w:asciiTheme="minorHAnsi" w:hAnsiTheme="minorHAnsi" w:cstheme="minorHAnsi"/>
          <w:color w:val="000000"/>
        </w:rPr>
        <w:t>.</w:t>
      </w:r>
    </w:p>
    <w:p w14:paraId="2F99DACD" w14:textId="6470FF43" w:rsidR="00E60008" w:rsidRPr="0069032F" w:rsidRDefault="004D029A" w:rsidP="001D56AE">
      <w:pPr>
        <w:ind w:firstLine="567"/>
        <w:rPr>
          <w:rFonts w:asciiTheme="minorHAnsi" w:hAnsiTheme="minorHAnsi" w:cstheme="minorHAnsi"/>
          <w:color w:val="000000"/>
        </w:rPr>
      </w:pPr>
      <w:hyperlink r:id="rId16" w:history="1">
        <w:r w:rsidR="00E60008" w:rsidRPr="0069032F">
          <w:rPr>
            <w:rStyle w:val="Hipersaitas"/>
            <w:rFonts w:asciiTheme="minorHAnsi" w:hAnsiTheme="minorHAnsi" w:cstheme="minorHAnsi"/>
          </w:rPr>
          <w:t>Prieiga internete</w:t>
        </w:r>
      </w:hyperlink>
    </w:p>
    <w:p w14:paraId="04289464" w14:textId="77777777" w:rsidR="0078771B" w:rsidRPr="0069032F" w:rsidRDefault="0078771B" w:rsidP="000F5C3C">
      <w:pPr>
        <w:pStyle w:val="c02alineaalta"/>
        <w:spacing w:before="0" w:beforeAutospacing="0" w:after="0" w:afterAutospacing="0"/>
        <w:ind w:firstLine="567"/>
        <w:jc w:val="both"/>
        <w:rPr>
          <w:rFonts w:asciiTheme="minorHAnsi" w:hAnsiTheme="minorHAnsi" w:cstheme="minorHAnsi"/>
          <w:color w:val="000000"/>
          <w:sz w:val="22"/>
          <w:szCs w:val="22"/>
        </w:rPr>
      </w:pPr>
    </w:p>
    <w:p w14:paraId="6C3000FF" w14:textId="77777777" w:rsidR="005C5E3F" w:rsidRPr="0069032F" w:rsidRDefault="005C5E3F" w:rsidP="00312341">
      <w:pPr>
        <w:pStyle w:val="Antrat1"/>
      </w:pPr>
      <w:bookmarkStart w:id="21" w:name="_Toc105161231"/>
      <w:r w:rsidRPr="0069032F">
        <w:t>LAISVAS ASMENŲ IR PASLAUGŲ JUDĖJIMAS</w:t>
      </w:r>
      <w:bookmarkEnd w:id="21"/>
    </w:p>
    <w:p w14:paraId="08A33066" w14:textId="77777777" w:rsidR="005C5E3F" w:rsidRPr="0069032F" w:rsidRDefault="005C5E3F" w:rsidP="005C5E3F">
      <w:pPr>
        <w:rPr>
          <w:rFonts w:asciiTheme="minorHAnsi" w:hAnsiTheme="minorHAnsi" w:cstheme="minorHAnsi"/>
        </w:rPr>
      </w:pPr>
    </w:p>
    <w:p w14:paraId="778472F9" w14:textId="437FE4BC" w:rsidR="005C5E3F" w:rsidRPr="00312341" w:rsidRDefault="005C5E3F" w:rsidP="00312341">
      <w:pPr>
        <w:pStyle w:val="Antrat1"/>
      </w:pPr>
      <w:bookmarkStart w:id="22" w:name="_Toc105161232"/>
      <w:r w:rsidRPr="0069032F">
        <w:t xml:space="preserve">2021 m. liepos 8 d. sprendimas byloje </w:t>
      </w:r>
      <w:r w:rsidRPr="00BA40DC">
        <w:rPr>
          <w:i/>
          <w:iCs/>
        </w:rPr>
        <w:t>Lietuvos Respublikos sveikatos apsaugos ministerija</w:t>
      </w:r>
      <w:r w:rsidR="00312341">
        <w:t xml:space="preserve">, </w:t>
      </w:r>
      <w:r w:rsidRPr="00B02203">
        <w:t>C</w:t>
      </w:r>
      <w:r w:rsidRPr="00B02203">
        <w:noBreakHyphen/>
        <w:t>166/20</w:t>
      </w:r>
      <w:bookmarkEnd w:id="22"/>
    </w:p>
    <w:p w14:paraId="2F3BA3F5" w14:textId="77777777" w:rsidR="005C5E3F" w:rsidRPr="00B02203" w:rsidRDefault="005C5E3F" w:rsidP="005C5E3F">
      <w:pPr>
        <w:tabs>
          <w:tab w:val="left" w:pos="6379"/>
        </w:tabs>
        <w:ind w:firstLine="567"/>
        <w:rPr>
          <w:rFonts w:asciiTheme="minorHAnsi" w:hAnsiTheme="minorHAnsi" w:cstheme="minorHAnsi"/>
        </w:rPr>
      </w:pPr>
    </w:p>
    <w:p w14:paraId="1E0DBE41" w14:textId="77777777" w:rsidR="005C5E3F" w:rsidRPr="0069032F" w:rsidRDefault="005C5E3F" w:rsidP="005C5E3F">
      <w:pPr>
        <w:tabs>
          <w:tab w:val="left" w:pos="6379"/>
        </w:tabs>
        <w:ind w:firstLine="567"/>
        <w:rPr>
          <w:rFonts w:asciiTheme="minorHAnsi" w:hAnsiTheme="minorHAnsi" w:cstheme="minorHAnsi"/>
        </w:rPr>
      </w:pPr>
      <w:r w:rsidRPr="0069032F">
        <w:rPr>
          <w:rFonts w:asciiTheme="minorHAnsi" w:hAnsiTheme="minorHAnsi" w:cstheme="minorHAnsi"/>
        </w:rPr>
        <w:t>Profesinių kvalifikacijų pripažinimas – Direktyva 2005/36/EB – 1 straipsnis ir 10 straipsnio b punktas – Keliose valstybėse narėse įgyta profesinė kvalifikacija – Įgijimo sąlygos – Formalios kvalifikacijos įrodymo neturėjimas – SESV 45 ir 49 straipsniai – Darbuotojai – Įsisteigimo laisvė</w:t>
      </w:r>
    </w:p>
    <w:p w14:paraId="10488BB3" w14:textId="77777777" w:rsidR="005C5E3F" w:rsidRPr="0069032F" w:rsidRDefault="005C5E3F" w:rsidP="005C5E3F">
      <w:pPr>
        <w:tabs>
          <w:tab w:val="left" w:pos="6379"/>
        </w:tabs>
        <w:ind w:firstLine="567"/>
        <w:rPr>
          <w:rFonts w:asciiTheme="minorHAnsi" w:hAnsiTheme="minorHAnsi" w:cstheme="minorHAnsi"/>
        </w:rPr>
      </w:pPr>
    </w:p>
    <w:p w14:paraId="4A23FB76" w14:textId="77777777" w:rsidR="005C5E3F" w:rsidRPr="0069032F" w:rsidRDefault="005C5E3F" w:rsidP="005C5E3F">
      <w:pPr>
        <w:tabs>
          <w:tab w:val="left" w:pos="6379"/>
        </w:tabs>
        <w:jc w:val="center"/>
        <w:rPr>
          <w:rFonts w:asciiTheme="minorHAnsi" w:hAnsiTheme="minorHAnsi" w:cstheme="minorHAnsi"/>
          <w:b/>
        </w:rPr>
      </w:pPr>
      <w:r w:rsidRPr="0069032F">
        <w:rPr>
          <w:rFonts w:asciiTheme="minorHAnsi" w:hAnsiTheme="minorHAnsi" w:cstheme="minorHAnsi"/>
          <w:b/>
        </w:rPr>
        <w:t>Bylos aplinkybės</w:t>
      </w:r>
    </w:p>
    <w:p w14:paraId="6172C8DD" w14:textId="77777777" w:rsidR="005C5E3F" w:rsidRPr="0069032F" w:rsidRDefault="005C5E3F" w:rsidP="005C5E3F">
      <w:pPr>
        <w:rPr>
          <w:rFonts w:asciiTheme="minorHAnsi" w:hAnsiTheme="minorHAnsi" w:cstheme="minorHAnsi"/>
        </w:rPr>
      </w:pPr>
    </w:p>
    <w:p w14:paraId="0B90AED0" w14:textId="77777777" w:rsidR="005C5E3F" w:rsidRPr="0069032F" w:rsidRDefault="005C5E3F" w:rsidP="005C5E3F">
      <w:pPr>
        <w:ind w:firstLine="567"/>
        <w:rPr>
          <w:rFonts w:asciiTheme="minorHAnsi" w:hAnsiTheme="minorHAnsi" w:cstheme="minorHAnsi"/>
        </w:rPr>
      </w:pPr>
      <w:r w:rsidRPr="0069032F">
        <w:rPr>
          <w:rFonts w:asciiTheme="minorHAnsi" w:hAnsiTheme="minorHAnsi" w:cstheme="minorHAnsi"/>
        </w:rPr>
        <w:t xml:space="preserve"> BB Jungtinėje Karalystėje baigė ketverių metų farmacijos studijas ir 2013 m. liepos 18 d. įgijo farmacijos magistro laipsnį. Ji atliko 26 savaičių (6 mėnesių) praktiką vaistinėje; praktika buvo teigiamai įvertinta ir įskaityta. Siekiant įgyti vaistininko kvalifikaciją Jungtinėje Karalystėje, reikalingas akademinis išsilavinimas (4 metų studijos universitete) ir 12 mėnesių profesinė praktika vaistinėje. Vis dėlto BB neatliko dvylikos mėnesių profesinės praktikos, kurios šioje valstybėje narėje reikalaujama siekiant įgyti vaistininko kvalifikaciją, nes dėl asmeninių priežasčių turėjo grįžti į Lietuvą. </w:t>
      </w:r>
    </w:p>
    <w:p w14:paraId="488F23F3" w14:textId="77777777" w:rsidR="005C5E3F" w:rsidRPr="0069032F" w:rsidRDefault="005C5E3F" w:rsidP="005C5E3F">
      <w:pPr>
        <w:ind w:firstLine="567"/>
        <w:rPr>
          <w:rFonts w:asciiTheme="minorHAnsi" w:hAnsiTheme="minorHAnsi" w:cstheme="minorHAnsi"/>
        </w:rPr>
      </w:pPr>
      <w:r w:rsidRPr="0069032F">
        <w:rPr>
          <w:rFonts w:asciiTheme="minorHAnsi" w:hAnsiTheme="minorHAnsi" w:cstheme="minorHAnsi"/>
        </w:rPr>
        <w:t>Studijų kokybės vertinimo centras Lietuvoje 2014 m. liepos 23 d. pareiškėjai išdavė pažymą, kuria BB turimas diplomas pripažintas lygiaverčiu Lietuvoje baigus vientisąsias farmacijos studijas suteikiamam magistro laipsniui. Vertinimo centras nurodė, kad ši pažyma nereiškė profesinės kvalifikacijos pripažinimo, nes toks pripažinimas priskirtinas išimtinei Sveikatos apsaugos ministerijos kompetencijai.</w:t>
      </w:r>
    </w:p>
    <w:p w14:paraId="3662F892" w14:textId="77777777" w:rsidR="005C5E3F" w:rsidRPr="0069032F" w:rsidRDefault="005C5E3F" w:rsidP="005C5E3F">
      <w:pPr>
        <w:ind w:firstLine="567"/>
        <w:rPr>
          <w:rFonts w:asciiTheme="minorHAnsi" w:hAnsiTheme="minorHAnsi" w:cstheme="minorHAnsi"/>
        </w:rPr>
      </w:pPr>
      <w:r w:rsidRPr="0069032F">
        <w:rPr>
          <w:rFonts w:asciiTheme="minorHAnsi" w:hAnsiTheme="minorHAnsi" w:cstheme="minorHAnsi"/>
        </w:rPr>
        <w:t>2014 m. rugpjūčio 6 d. BB kreipėsi į minėtą ministeriją dėl profesinės kvalifikacijos pripažinimo. Pastaroji nurodė, kad BB dokumentai įrodo jos akademinį išsilavinimą, bet ne profesinę kvalifikaciją, nes nebuvo aišku, kurioje valstybėje narėje turėjo būti atlikta likusi 6 mėnesių praktika.</w:t>
      </w:r>
    </w:p>
    <w:p w14:paraId="0DE6C3F9" w14:textId="77777777" w:rsidR="005C5E3F" w:rsidRPr="0069032F" w:rsidRDefault="005C5E3F" w:rsidP="005C5E3F">
      <w:pPr>
        <w:ind w:firstLine="567"/>
        <w:rPr>
          <w:rFonts w:asciiTheme="minorHAnsi" w:hAnsiTheme="minorHAnsi" w:cstheme="minorHAnsi"/>
        </w:rPr>
      </w:pPr>
      <w:r w:rsidRPr="0069032F">
        <w:rPr>
          <w:rFonts w:asciiTheme="minorHAnsi" w:hAnsiTheme="minorHAnsi" w:cstheme="minorHAnsi"/>
        </w:rPr>
        <w:t>2014 m. rugsėjį Lietuvos sveikatos mokslų universiteto rektoriaus įsakymu buvo leista BB priimti į studijas ir su ja universitetas sudarė sutartį; pagal šią sutartį BB atliko dar 6 mėnesių farmacijos praktiką. 2015 m. gegužės 27 d. minėtas universitetas jai išdavė pažymėjimą, patvirtinantį, kad ši praktika atlikta.</w:t>
      </w:r>
    </w:p>
    <w:p w14:paraId="68F8CD25" w14:textId="77777777" w:rsidR="005C5E3F" w:rsidRPr="0069032F" w:rsidRDefault="005C5E3F" w:rsidP="005C5E3F">
      <w:pPr>
        <w:ind w:firstLine="567"/>
        <w:rPr>
          <w:rFonts w:asciiTheme="minorHAnsi" w:hAnsiTheme="minorHAnsi" w:cstheme="minorHAnsi"/>
        </w:rPr>
      </w:pPr>
      <w:r w:rsidRPr="0069032F">
        <w:rPr>
          <w:rFonts w:asciiTheme="minorHAnsi" w:hAnsiTheme="minorHAnsi" w:cstheme="minorHAnsi"/>
        </w:rPr>
        <w:t>Sveikatos apsaugos ministerija 2017 m. liepos 24 d. įsakymu atsisakė pripažinti BB profesinę kvalifikaciją. Šiame įsakyme nurodyta, kad BB nebuvo įgijusi vaistininko profesinės kvalifikacijos Europos Sąjungos valstybėje narėje. BB minėtą sprendimą apskundė Apeliacinei komisijai, kuri skundą atmetė. Apeliacinės komisijos ir Sveikatos apsaugos ministerijos sprendimus BB apskundė Vilniaus apygardos administraciniam teismui, kuris jos skundą taip pat atmetė. Apeliacinį skundą nagrinėjantis Lietuvos vyriausiasis administracinis teismas kreipėsi į Teisingumo Teismą su klausimais dėl Direktyvos 2005/36</w:t>
      </w:r>
      <w:r w:rsidRPr="0069032F">
        <w:rPr>
          <w:rStyle w:val="Puslapioinaosnuoroda"/>
          <w:rFonts w:asciiTheme="minorHAnsi" w:hAnsiTheme="minorHAnsi" w:cstheme="minorHAnsi"/>
        </w:rPr>
        <w:footnoteReference w:id="9"/>
      </w:r>
      <w:r w:rsidRPr="0069032F">
        <w:rPr>
          <w:rFonts w:asciiTheme="minorHAnsi" w:hAnsiTheme="minorHAnsi" w:cstheme="minorHAnsi"/>
        </w:rPr>
        <w:t>, SESV 45, 49 ir Chartijos 15 straipsnių nuostatų aiškinimo.</w:t>
      </w:r>
    </w:p>
    <w:p w14:paraId="2BE2EC4B" w14:textId="77777777" w:rsidR="005C5E3F" w:rsidRPr="0069032F" w:rsidRDefault="005C5E3F" w:rsidP="005C5E3F">
      <w:pPr>
        <w:rPr>
          <w:rFonts w:asciiTheme="minorHAnsi" w:hAnsiTheme="minorHAnsi" w:cstheme="minorHAnsi"/>
        </w:rPr>
      </w:pPr>
    </w:p>
    <w:p w14:paraId="3B8FC9A5" w14:textId="77777777" w:rsidR="005C5E3F" w:rsidRPr="0069032F" w:rsidRDefault="005C5E3F" w:rsidP="005C5E3F">
      <w:pPr>
        <w:tabs>
          <w:tab w:val="left" w:pos="3288"/>
        </w:tabs>
        <w:rPr>
          <w:rFonts w:asciiTheme="minorHAnsi" w:hAnsiTheme="minorHAnsi" w:cstheme="minorHAnsi"/>
          <w:b/>
          <w:bCs/>
        </w:rPr>
      </w:pPr>
      <w:r w:rsidRPr="0069032F">
        <w:rPr>
          <w:rFonts w:asciiTheme="minorHAnsi" w:hAnsiTheme="minorHAnsi" w:cstheme="minorHAnsi"/>
        </w:rPr>
        <w:lastRenderedPageBreak/>
        <w:tab/>
      </w:r>
      <w:r w:rsidRPr="0069032F">
        <w:rPr>
          <w:rFonts w:asciiTheme="minorHAnsi" w:hAnsiTheme="minorHAnsi" w:cstheme="minorHAnsi"/>
          <w:b/>
          <w:bCs/>
        </w:rPr>
        <w:t>Teisingumo Teismo vertinimas</w:t>
      </w:r>
    </w:p>
    <w:p w14:paraId="163794F6" w14:textId="77777777" w:rsidR="005C5E3F" w:rsidRPr="0069032F" w:rsidRDefault="005C5E3F" w:rsidP="005C5E3F">
      <w:pPr>
        <w:tabs>
          <w:tab w:val="left" w:pos="3288"/>
        </w:tabs>
        <w:rPr>
          <w:rFonts w:asciiTheme="minorHAnsi" w:hAnsiTheme="minorHAnsi" w:cstheme="minorHAnsi"/>
          <w:b/>
          <w:bCs/>
        </w:rPr>
      </w:pPr>
    </w:p>
    <w:p w14:paraId="6D5A68EC" w14:textId="77777777" w:rsidR="005C5E3F" w:rsidRPr="00312341" w:rsidRDefault="005C5E3F" w:rsidP="00312341">
      <w:pPr>
        <w:pStyle w:val="Antrat3"/>
        <w:tabs>
          <w:tab w:val="clear" w:pos="567"/>
          <w:tab w:val="left" w:pos="426"/>
        </w:tabs>
        <w:ind w:firstLine="567"/>
      </w:pPr>
      <w:bookmarkStart w:id="23" w:name="_Toc105161233"/>
      <w:r w:rsidRPr="00312341">
        <w:t>Dėl priimančiosios valstybės narės pareigos įvertinti kilmės valstybėje narėje ir priimančiojoje valstybėje narėje įgytą profesinę kompetenciją ir ją palyginti su ta, kurios reikalaujama priimančiojoje valstybėje narėje tam, kad būtų galima verstis vaistininko profesine veikla</w:t>
      </w:r>
      <w:bookmarkEnd w:id="23"/>
    </w:p>
    <w:p w14:paraId="4078117B" w14:textId="77777777" w:rsidR="005C5E3F" w:rsidRPr="0069032F" w:rsidRDefault="005C5E3F" w:rsidP="005C5E3F">
      <w:pPr>
        <w:tabs>
          <w:tab w:val="left" w:pos="3288"/>
        </w:tabs>
        <w:ind w:firstLine="567"/>
        <w:rPr>
          <w:rFonts w:asciiTheme="minorHAnsi" w:hAnsiTheme="minorHAnsi" w:cstheme="minorHAnsi"/>
          <w:i/>
          <w:iCs/>
        </w:rPr>
      </w:pPr>
    </w:p>
    <w:p w14:paraId="59437D50" w14:textId="77777777" w:rsidR="005C5E3F" w:rsidRPr="0069032F" w:rsidRDefault="005C5E3F" w:rsidP="005C5E3F">
      <w:pPr>
        <w:tabs>
          <w:tab w:val="left" w:pos="3288"/>
        </w:tabs>
        <w:ind w:firstLine="567"/>
        <w:rPr>
          <w:rFonts w:asciiTheme="minorHAnsi" w:hAnsiTheme="minorHAnsi" w:cstheme="minorHAnsi"/>
        </w:rPr>
      </w:pPr>
      <w:r w:rsidRPr="0069032F">
        <w:rPr>
          <w:rFonts w:asciiTheme="minorHAnsi" w:hAnsiTheme="minorHAnsi" w:cstheme="minorHAnsi"/>
        </w:rPr>
        <w:t>Teisingumo Teismas pažymėjo, kad Direktyvoje 2005/36 numatytas abipusis profesinės kvalifikacijos pripažinimas suponuoja, kad pareiškėjas kilmės valstybėje narėje turi kvalifikacijos įrodymą, kad galėtų joje verstis reglamentuojamąja profesine veikla, ir sprendė, jog Direktyva 2005/36, būtent jos 1 straipsnis ir 10 straipsnio b punktas, turi būti aiškinama taip, kad ji netaikoma situacijai, kai asmuo, prašantis pripažinti jo profesinę kvalifikaciją, nėra įgijęs formalios kvalifikacijos įrodymo, kad kilmės valstybėje narėje galėtų verstis reglamentuojamąja profesine veikla.</w:t>
      </w:r>
    </w:p>
    <w:p w14:paraId="0D2B59E8" w14:textId="77777777" w:rsidR="005C5E3F" w:rsidRPr="0069032F" w:rsidRDefault="005C5E3F" w:rsidP="005C5E3F">
      <w:pPr>
        <w:tabs>
          <w:tab w:val="left" w:pos="3288"/>
        </w:tabs>
        <w:ind w:firstLine="567"/>
        <w:rPr>
          <w:rFonts w:asciiTheme="minorHAnsi" w:hAnsiTheme="minorHAnsi" w:cstheme="minorHAnsi"/>
        </w:rPr>
      </w:pPr>
      <w:r w:rsidRPr="0069032F">
        <w:rPr>
          <w:rFonts w:asciiTheme="minorHAnsi" w:hAnsiTheme="minorHAnsi" w:cstheme="minorHAnsi"/>
        </w:rPr>
        <w:t>Teisingumo Teismas priminė, kad valstybės narės institucijos, kurioms Sąjungos pilietis pateikė prašymą leisti verstis profesine veikla, kuria verstis pagal nacionalinės teisės aktus leidžiama tik turint diplomą arba profesinę kvalifikaciją ar tam tikros trukmės praktinę patirtį, privalo atsižvelgti į visus suinteresuotojo asmens diplomus, pažymėjimus ir kitus dokumentus, taip pat reikšmingą patirtį, kai lygina šiais dokumentais ir patirtimi patvirtintas kompetencijas su žiniomis ir kvalifikacijomis, kurių reikalaujama pagal nacionalinės teisės aktus (2002 m. sausio 22 d. Sprendimo </w:t>
      </w:r>
      <w:r w:rsidRPr="0069032F">
        <w:rPr>
          <w:rFonts w:asciiTheme="minorHAnsi" w:hAnsiTheme="minorHAnsi" w:cstheme="minorHAnsi"/>
          <w:i/>
          <w:iCs/>
        </w:rPr>
        <w:t>Dreessen</w:t>
      </w:r>
      <w:r w:rsidRPr="0069032F">
        <w:rPr>
          <w:rFonts w:asciiTheme="minorHAnsi" w:hAnsiTheme="minorHAnsi" w:cstheme="minorHAnsi"/>
        </w:rPr>
        <w:t>, C</w:t>
      </w:r>
      <w:r w:rsidRPr="0069032F">
        <w:rPr>
          <w:rFonts w:asciiTheme="minorHAnsi" w:hAnsiTheme="minorHAnsi" w:cstheme="minorHAnsi"/>
        </w:rPr>
        <w:noBreakHyphen/>
        <w:t>31/00, EU:C:2002:35, 24 punktas ir jame nurodyta jurisprudencija). Kadangi ši jurisprudencija yra tik SESV užtikrinamoms pagrindinėms laisvėms būdingo principo išraiška teismo sprendimuose, šio principo teisinė reikšmė negali sumažėti priėmus direktyvas dėl diplomų tarpusavio pripažinimo.</w:t>
      </w:r>
    </w:p>
    <w:p w14:paraId="5324C5B6" w14:textId="77777777" w:rsidR="005C5E3F" w:rsidRPr="0069032F" w:rsidRDefault="005C5E3F" w:rsidP="005C5E3F">
      <w:pPr>
        <w:tabs>
          <w:tab w:val="left" w:pos="3288"/>
        </w:tabs>
        <w:ind w:firstLine="567"/>
        <w:rPr>
          <w:rFonts w:asciiTheme="minorHAnsi" w:hAnsiTheme="minorHAnsi" w:cstheme="minorHAnsi"/>
        </w:rPr>
      </w:pPr>
      <w:r w:rsidRPr="0069032F">
        <w:rPr>
          <w:rFonts w:asciiTheme="minorHAnsi" w:hAnsiTheme="minorHAnsi" w:cstheme="minorHAnsi"/>
        </w:rPr>
        <w:t xml:space="preserve">Atsižvelgdamas į tai, Teisingumo Teismas sprendė, kad SESV 45 ir 49 straipsniai turi būti aiškinami taip, kad tuo atveju, kai suinteresuotasis asmuo neturi vaistininko formalios kvalifikacijos įrodymo, kaip tai suprantama pagal Direktyvos 2005/36 V priedo 5.6.2 punktą, bet įgijo su šia profesija susijusią profesinę kompetenciją tiek kilmės valstybėje narėje, tiek priimančiojoje valstybėje narėje, pastarosios valstybės narės kompetentingos valdžios institucijos, gavusios prašymą pripažinti profesinę kvalifikaciją, turi </w:t>
      </w:r>
      <w:bookmarkStart w:id="24" w:name="_Hlk103941569"/>
      <w:r w:rsidRPr="0069032F">
        <w:rPr>
          <w:rFonts w:asciiTheme="minorHAnsi" w:hAnsiTheme="minorHAnsi" w:cstheme="minorHAnsi"/>
        </w:rPr>
        <w:t>įvertinti šią kompetenciją ir ją palyginti su ta, kurios reikalaujama priimančiojoje valstybėje narėje tam, kad būtų galima verstis vaistininko profesine veikla</w:t>
      </w:r>
      <w:bookmarkEnd w:id="24"/>
      <w:r w:rsidRPr="0069032F">
        <w:rPr>
          <w:rFonts w:asciiTheme="minorHAnsi" w:hAnsiTheme="minorHAnsi" w:cstheme="minorHAnsi"/>
        </w:rPr>
        <w:t>. Jei ši kompetencija atitinka tą, kurios reikalaujama pagal priimančiosios valstybės narės nacionalinės teisės nuostatas, ji privalo ją pripažinti. Jei atlikus šį lyginamąjį tyrimą nustatoma tik dalinė šios kompetencijos atitiktis, priimančioji valstybė narė turi teisę reikalauti, kad suinteresuotasis asmuo įrodytų, jog įgijo trūkstamų žinių ir kvalifikaciją. Kompetentingos nacionalinės valdžios institucijos prireikus turi įvertinti, ar žinių, įgytų priimančiojoje valstybėje, pavyzdžiui, atliekant profesinę praktiką, pakanka, siekiant kompensuoti trūkstamas žinias. Jei atlikus minėtą lyginamąjį tyrimą paaiškėja esminiai skirtumai tarp pareiškėjo profesinio rengimo ir priimančiojoje valstybėje narėje reikalaujamo profesinio rengimo, kompetentingos valdžios institucijos gali nustatyti kompensacines priemones šiems skirtumams kompensuoti.</w:t>
      </w:r>
    </w:p>
    <w:p w14:paraId="5F6AB68F" w14:textId="26041B66" w:rsidR="0078771B" w:rsidRPr="0069032F" w:rsidRDefault="004D029A" w:rsidP="006E0A33">
      <w:pPr>
        <w:tabs>
          <w:tab w:val="left" w:pos="3288"/>
        </w:tabs>
        <w:ind w:firstLine="567"/>
        <w:rPr>
          <w:rFonts w:asciiTheme="minorHAnsi" w:hAnsiTheme="minorHAnsi" w:cstheme="minorHAnsi"/>
          <w:color w:val="000000"/>
        </w:rPr>
      </w:pPr>
      <w:hyperlink r:id="rId17" w:history="1">
        <w:r w:rsidR="005C5E3F" w:rsidRPr="0069032F">
          <w:rPr>
            <w:rStyle w:val="Hipersaitas"/>
            <w:rFonts w:asciiTheme="minorHAnsi" w:hAnsiTheme="minorHAnsi" w:cstheme="minorHAnsi"/>
          </w:rPr>
          <w:t>Prieiga internete</w:t>
        </w:r>
      </w:hyperlink>
      <w:r w:rsidR="0078771B" w:rsidRPr="0069032F">
        <w:rPr>
          <w:rFonts w:asciiTheme="minorHAnsi" w:hAnsiTheme="minorHAnsi" w:cstheme="minorHAnsi"/>
          <w:color w:val="000000"/>
        </w:rPr>
        <w:t> </w:t>
      </w:r>
    </w:p>
    <w:p w14:paraId="38A04A6D" w14:textId="11ED0311" w:rsidR="00C8171C" w:rsidRPr="0069032F" w:rsidRDefault="00C8171C" w:rsidP="00C8171C">
      <w:pPr>
        <w:ind w:firstLine="567"/>
        <w:jc w:val="center"/>
        <w:rPr>
          <w:rFonts w:asciiTheme="minorHAnsi" w:hAnsiTheme="minorHAnsi" w:cstheme="minorHAnsi"/>
          <w:b/>
          <w:bCs/>
          <w:color w:val="002060"/>
        </w:rPr>
      </w:pPr>
    </w:p>
    <w:p w14:paraId="1177FAA4" w14:textId="774F4D46" w:rsidR="00B51A6D" w:rsidRPr="006F7496" w:rsidRDefault="00B51A6D" w:rsidP="00B51A6D">
      <w:pPr>
        <w:pStyle w:val="Antrat1"/>
        <w:rPr>
          <w:szCs w:val="22"/>
        </w:rPr>
      </w:pPr>
      <w:bookmarkStart w:id="25" w:name="_Toc105161234"/>
      <w:r>
        <w:t>PILIETYBĖ</w:t>
      </w:r>
      <w:bookmarkEnd w:id="25"/>
    </w:p>
    <w:p w14:paraId="42D70D24" w14:textId="77777777" w:rsidR="00B51A6D" w:rsidRPr="006F7496" w:rsidRDefault="00B51A6D" w:rsidP="00B51A6D">
      <w:pPr>
        <w:tabs>
          <w:tab w:val="left" w:pos="6379"/>
        </w:tabs>
        <w:jc w:val="center"/>
        <w:rPr>
          <w:rFonts w:asciiTheme="minorHAnsi" w:hAnsiTheme="minorHAnsi" w:cstheme="minorHAnsi"/>
          <w:b/>
          <w:bCs/>
        </w:rPr>
      </w:pPr>
    </w:p>
    <w:p w14:paraId="4F1FF452" w14:textId="65C97D82" w:rsidR="00B51A6D" w:rsidRPr="006F7496" w:rsidRDefault="00B51A6D" w:rsidP="00B51A6D">
      <w:pPr>
        <w:pStyle w:val="Antrat1"/>
      </w:pPr>
      <w:bookmarkStart w:id="26" w:name="_Toc105161235"/>
      <w:r>
        <w:t xml:space="preserve">Didžiosios kolegijos </w:t>
      </w:r>
      <w:r w:rsidRPr="00380678">
        <w:t>2021 m. gruodžio 14 d.</w:t>
      </w:r>
      <w:r w:rsidRPr="006F7496">
        <w:t xml:space="preserve"> sprendimas byloje </w:t>
      </w:r>
      <w:r w:rsidRPr="00380678">
        <w:rPr>
          <w:i/>
          <w:iCs/>
        </w:rPr>
        <w:t>V.М.А.</w:t>
      </w:r>
      <w:r w:rsidRPr="006F7496">
        <w:t>, C</w:t>
      </w:r>
      <w:r w:rsidRPr="006F7496">
        <w:rPr>
          <w:rFonts w:ascii="Cambria Math" w:hAnsi="Cambria Math" w:cs="Cambria Math"/>
        </w:rPr>
        <w:t>‑</w:t>
      </w:r>
      <w:r>
        <w:t>490/20</w:t>
      </w:r>
      <w:bookmarkEnd w:id="26"/>
    </w:p>
    <w:p w14:paraId="17ECCA41" w14:textId="77777777" w:rsidR="00B51A6D" w:rsidRPr="006F7496" w:rsidRDefault="00B51A6D" w:rsidP="00B51A6D">
      <w:pPr>
        <w:tabs>
          <w:tab w:val="left" w:pos="6379"/>
        </w:tabs>
        <w:ind w:firstLine="540"/>
        <w:rPr>
          <w:rFonts w:asciiTheme="minorHAnsi" w:hAnsiTheme="minorHAnsi" w:cstheme="minorHAnsi"/>
        </w:rPr>
      </w:pPr>
    </w:p>
    <w:p w14:paraId="7217D8A2" w14:textId="77777777" w:rsidR="00B51A6D" w:rsidRPr="006F7496" w:rsidRDefault="00B51A6D" w:rsidP="00B51A6D">
      <w:pPr>
        <w:tabs>
          <w:tab w:val="left" w:pos="6379"/>
        </w:tabs>
        <w:ind w:firstLine="540"/>
        <w:rPr>
          <w:rFonts w:asciiTheme="minorHAnsi" w:hAnsiTheme="minorHAnsi" w:cstheme="minorHAnsi"/>
        </w:rPr>
      </w:pPr>
      <w:r w:rsidRPr="00380678">
        <w:rPr>
          <w:rFonts w:asciiTheme="minorHAnsi" w:hAnsiTheme="minorHAnsi" w:cstheme="minorHAnsi"/>
        </w:rPr>
        <w:t>Sąjungos pilietybė – SESV 20 ir 21 straipsniai – Teisė laisvai judėti ir apsigyventi valstybių narių teritorijoje – Vaikas, gimęs jo tėvų priimančiojoje valstybėje narėje – Šios valstybės narės išduotas gimimo liudijimas, kuriame nurodytos dvi šio vaiko motinos – Vienos iš šių dviejų motinų kilmės valstybės narės atsisakymas išduoti minėto vaiko gimimo liudijimą neturint informacijos apie jo biologinės motinos tapatybę – Tokio dokumento turėjimas kaip asmens tapatybės kortelės arba paso išdavimo sąlyga – Šios kilmės valstybės narės teisės aktai, pagal kuriuos neleidžiama tos pačios lyties asmenų tėvystė</w:t>
      </w:r>
    </w:p>
    <w:p w14:paraId="17DEA176" w14:textId="77777777" w:rsidR="00B51A6D" w:rsidRPr="006F7496" w:rsidRDefault="00B51A6D" w:rsidP="00B51A6D">
      <w:pPr>
        <w:tabs>
          <w:tab w:val="left" w:pos="6379"/>
        </w:tabs>
        <w:jc w:val="center"/>
        <w:rPr>
          <w:rFonts w:asciiTheme="minorHAnsi" w:hAnsiTheme="minorHAnsi" w:cstheme="minorHAnsi"/>
          <w:b/>
          <w:bCs/>
        </w:rPr>
      </w:pPr>
    </w:p>
    <w:p w14:paraId="52E4E0D7" w14:textId="77777777" w:rsidR="00B51A6D" w:rsidRPr="006F7496" w:rsidRDefault="00B51A6D" w:rsidP="00B51A6D">
      <w:pPr>
        <w:tabs>
          <w:tab w:val="left" w:pos="6379"/>
        </w:tabs>
        <w:jc w:val="center"/>
        <w:rPr>
          <w:rFonts w:asciiTheme="minorHAnsi" w:hAnsiTheme="minorHAnsi" w:cstheme="minorHAnsi"/>
          <w:b/>
          <w:bCs/>
        </w:rPr>
      </w:pPr>
      <w:r w:rsidRPr="006F7496">
        <w:rPr>
          <w:rFonts w:asciiTheme="minorHAnsi" w:hAnsiTheme="minorHAnsi" w:cstheme="minorHAnsi"/>
          <w:b/>
          <w:bCs/>
        </w:rPr>
        <w:t>Bylos aplinkybės</w:t>
      </w:r>
    </w:p>
    <w:p w14:paraId="3192820E" w14:textId="77777777" w:rsidR="00B51A6D" w:rsidRPr="006F7496" w:rsidRDefault="00B51A6D" w:rsidP="00B51A6D">
      <w:pPr>
        <w:tabs>
          <w:tab w:val="left" w:pos="6379"/>
        </w:tabs>
        <w:ind w:firstLine="540"/>
        <w:rPr>
          <w:rFonts w:asciiTheme="minorHAnsi" w:hAnsiTheme="minorHAnsi" w:cstheme="minorHAnsi"/>
        </w:rPr>
      </w:pPr>
    </w:p>
    <w:p w14:paraId="5C9426C8" w14:textId="77777777" w:rsidR="00B51A6D" w:rsidRPr="006F7496" w:rsidRDefault="00B51A6D" w:rsidP="00B51A6D">
      <w:pPr>
        <w:tabs>
          <w:tab w:val="left" w:pos="6379"/>
        </w:tabs>
        <w:ind w:firstLine="540"/>
        <w:rPr>
          <w:rFonts w:asciiTheme="minorHAnsi" w:hAnsiTheme="minorHAnsi" w:cstheme="minorHAnsi"/>
        </w:rPr>
      </w:pPr>
      <w:r w:rsidRPr="006F7496">
        <w:rPr>
          <w:rFonts w:asciiTheme="minorHAnsi" w:hAnsiTheme="minorHAnsi" w:cstheme="minorHAnsi"/>
        </w:rPr>
        <w:t xml:space="preserve">Prašymas priimti prejudicinį sprendimą pateiktas nagrinėjant </w:t>
      </w:r>
      <w:r w:rsidRPr="000C4F7F">
        <w:rPr>
          <w:rFonts w:asciiTheme="minorHAnsi" w:hAnsiTheme="minorHAnsi" w:cstheme="minorHAnsi"/>
        </w:rPr>
        <w:t>Bulgarijos valdžios institucijų atsisakym</w:t>
      </w:r>
      <w:r>
        <w:rPr>
          <w:rFonts w:asciiTheme="minorHAnsi" w:hAnsiTheme="minorHAnsi" w:cstheme="minorHAnsi"/>
        </w:rPr>
        <w:t>ą</w:t>
      </w:r>
      <w:r w:rsidRPr="000C4F7F">
        <w:rPr>
          <w:rFonts w:asciiTheme="minorHAnsi" w:hAnsiTheme="minorHAnsi" w:cstheme="minorHAnsi"/>
        </w:rPr>
        <w:t xml:space="preserve"> įregistruoti </w:t>
      </w:r>
      <w:r>
        <w:rPr>
          <w:rFonts w:asciiTheme="minorHAnsi" w:hAnsiTheme="minorHAnsi" w:cstheme="minorHAnsi"/>
        </w:rPr>
        <w:t xml:space="preserve">Ispanijoje </w:t>
      </w:r>
      <w:r w:rsidRPr="000C4F7F">
        <w:rPr>
          <w:rFonts w:asciiTheme="minorHAnsi" w:hAnsiTheme="minorHAnsi" w:cstheme="minorHAnsi"/>
        </w:rPr>
        <w:t xml:space="preserve">gimusio Bulgarijos piliečio gimimą, kuris buvo patvirtintas </w:t>
      </w:r>
      <w:r>
        <w:rPr>
          <w:rFonts w:asciiTheme="minorHAnsi" w:hAnsiTheme="minorHAnsi" w:cstheme="minorHAnsi"/>
        </w:rPr>
        <w:t>Ispanijos kompetentingų institucijų</w:t>
      </w:r>
      <w:r w:rsidRPr="000C4F7F">
        <w:rPr>
          <w:rFonts w:asciiTheme="minorHAnsi" w:hAnsiTheme="minorHAnsi" w:cstheme="minorHAnsi"/>
        </w:rPr>
        <w:t xml:space="preserve"> išduotu gimimo liudijimu, kuriame </w:t>
      </w:r>
      <w:r>
        <w:rPr>
          <w:rFonts w:asciiTheme="minorHAnsi" w:hAnsiTheme="minorHAnsi" w:cstheme="minorHAnsi"/>
        </w:rPr>
        <w:t xml:space="preserve">kaip vaiko tėvai </w:t>
      </w:r>
      <w:r w:rsidRPr="000C4F7F">
        <w:rPr>
          <w:rFonts w:asciiTheme="minorHAnsi" w:hAnsiTheme="minorHAnsi" w:cstheme="minorHAnsi"/>
        </w:rPr>
        <w:t>įrašytos dvi motinos</w:t>
      </w:r>
      <w:r w:rsidRPr="006F7496">
        <w:rPr>
          <w:rFonts w:asciiTheme="minorHAnsi" w:hAnsiTheme="minorHAnsi" w:cstheme="minorHAnsi"/>
        </w:rPr>
        <w:t>.</w:t>
      </w:r>
      <w:r>
        <w:rPr>
          <w:rFonts w:asciiTheme="minorHAnsi" w:hAnsiTheme="minorHAnsi" w:cstheme="minorHAnsi"/>
        </w:rPr>
        <w:t xml:space="preserve"> </w:t>
      </w:r>
      <w:r w:rsidRPr="000C4F7F">
        <w:rPr>
          <w:rFonts w:asciiTheme="minorHAnsi" w:hAnsiTheme="minorHAnsi" w:cstheme="minorHAnsi"/>
        </w:rPr>
        <w:lastRenderedPageBreak/>
        <w:t>Bulgarijos valdžios institucij</w:t>
      </w:r>
      <w:r>
        <w:rPr>
          <w:rFonts w:asciiTheme="minorHAnsi" w:hAnsiTheme="minorHAnsi" w:cstheme="minorHAnsi"/>
        </w:rPr>
        <w:t>os</w:t>
      </w:r>
      <w:r w:rsidRPr="000C4F7F">
        <w:rPr>
          <w:rFonts w:asciiTheme="minorHAnsi" w:hAnsiTheme="minorHAnsi" w:cstheme="minorHAnsi"/>
        </w:rPr>
        <w:t xml:space="preserve"> </w:t>
      </w:r>
      <w:r w:rsidRPr="00426D8A">
        <w:rPr>
          <w:rFonts w:asciiTheme="minorHAnsi" w:hAnsiTheme="minorHAnsi" w:cstheme="minorHAnsi"/>
        </w:rPr>
        <w:t>atsisakė išduoti prašomą gimimo liudijimą, atsižvelgdam</w:t>
      </w:r>
      <w:r>
        <w:rPr>
          <w:rFonts w:asciiTheme="minorHAnsi" w:hAnsiTheme="minorHAnsi" w:cstheme="minorHAnsi"/>
        </w:rPr>
        <w:t>os</w:t>
      </w:r>
      <w:r w:rsidRPr="00426D8A">
        <w:rPr>
          <w:rFonts w:asciiTheme="minorHAnsi" w:hAnsiTheme="minorHAnsi" w:cstheme="minorHAnsi"/>
        </w:rPr>
        <w:t xml:space="preserve"> į tai, kad nėra informacijos apie atitinkamo vaiko biologinės motinos tapatybę, ir į tai, kad dviejų moteriškos lyties tėvų įrašymas į gimimo liudijimą prieštarauja Bulgarijos viešajai tvarkai, pagal kurią dviejų tos pačios lyties asmenų santuokos nėra leidžiamos.</w:t>
      </w:r>
    </w:p>
    <w:p w14:paraId="745B3EBE" w14:textId="77777777" w:rsidR="00B850BE" w:rsidRDefault="00B850BE" w:rsidP="00B51A6D">
      <w:pPr>
        <w:tabs>
          <w:tab w:val="left" w:pos="6379"/>
        </w:tabs>
        <w:jc w:val="center"/>
        <w:rPr>
          <w:rFonts w:asciiTheme="minorHAnsi" w:hAnsiTheme="minorHAnsi" w:cstheme="minorHAnsi"/>
          <w:b/>
          <w:bCs/>
        </w:rPr>
      </w:pPr>
    </w:p>
    <w:p w14:paraId="3AA09C60" w14:textId="79560719" w:rsidR="00B51A6D" w:rsidRPr="006F7496" w:rsidRDefault="00B51A6D" w:rsidP="00B51A6D">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3E9BE0EC" w14:textId="77777777" w:rsidR="00B51A6D" w:rsidRPr="006F7496" w:rsidRDefault="00B51A6D" w:rsidP="00B51A6D">
      <w:pPr>
        <w:tabs>
          <w:tab w:val="left" w:pos="6379"/>
        </w:tabs>
        <w:jc w:val="center"/>
        <w:rPr>
          <w:rFonts w:asciiTheme="minorHAnsi" w:hAnsiTheme="minorHAnsi" w:cstheme="minorHAnsi"/>
        </w:rPr>
      </w:pPr>
    </w:p>
    <w:p w14:paraId="7D109399" w14:textId="77777777" w:rsidR="00B51A6D" w:rsidRPr="006F7496" w:rsidRDefault="00B51A6D" w:rsidP="00B51A6D">
      <w:pPr>
        <w:pStyle w:val="Antrat3"/>
        <w:tabs>
          <w:tab w:val="clear" w:pos="567"/>
          <w:tab w:val="left" w:pos="426"/>
        </w:tabs>
        <w:ind w:firstLine="567"/>
      </w:pPr>
      <w:bookmarkStart w:id="27" w:name="_Toc105161236"/>
      <w:r>
        <w:t xml:space="preserve">Dėl valstybės narės pareigos </w:t>
      </w:r>
      <w:r w:rsidRPr="00092785">
        <w:t xml:space="preserve">išduoti asmens tapatybės kortelę arba pasą </w:t>
      </w:r>
      <w:r>
        <w:t xml:space="preserve">nepilnamečiui jos piliečiui </w:t>
      </w:r>
      <w:r w:rsidRPr="00092785">
        <w:t>nereikalau</w:t>
      </w:r>
      <w:r>
        <w:t>jant</w:t>
      </w:r>
      <w:r w:rsidRPr="00092785">
        <w:t>, kad jos valdžios institucijos prieš tai parengtų gimimo liudijimą,</w:t>
      </w:r>
      <w:r>
        <w:t xml:space="preserve"> bei </w:t>
      </w:r>
      <w:r w:rsidRPr="00092785">
        <w:t xml:space="preserve">pripažinti priimančiosios valstybės narės išduotą dokumentą, suteikiantį </w:t>
      </w:r>
      <w:r>
        <w:t xml:space="preserve">tokiam nepilnamečiui </w:t>
      </w:r>
      <w:r w:rsidRPr="00092785">
        <w:t xml:space="preserve">teisę laisvai judėti ir apsigyventi valstybių narių teritorijoje su kiekvienu iš </w:t>
      </w:r>
      <w:r>
        <w:t>tėvų, kuriais yra tos pačios lyties asmenys</w:t>
      </w:r>
      <w:bookmarkEnd w:id="27"/>
    </w:p>
    <w:p w14:paraId="7FFB5AED" w14:textId="77777777" w:rsidR="00B51A6D" w:rsidRPr="006F7496" w:rsidRDefault="00B51A6D" w:rsidP="00B51A6D">
      <w:pPr>
        <w:tabs>
          <w:tab w:val="left" w:pos="6379"/>
        </w:tabs>
        <w:ind w:firstLine="540"/>
        <w:rPr>
          <w:rFonts w:asciiTheme="minorHAnsi" w:hAnsiTheme="minorHAnsi" w:cstheme="minorHAnsi"/>
        </w:rPr>
      </w:pPr>
    </w:p>
    <w:p w14:paraId="68DC2A29" w14:textId="372603EE" w:rsidR="00B51A6D" w:rsidRDefault="00B51A6D" w:rsidP="00B51A6D">
      <w:pPr>
        <w:tabs>
          <w:tab w:val="left" w:pos="6379"/>
        </w:tabs>
        <w:ind w:firstLine="540"/>
        <w:rPr>
          <w:rFonts w:asciiTheme="minorHAnsi" w:hAnsiTheme="minorHAnsi" w:cstheme="minorHAnsi"/>
        </w:rPr>
      </w:pPr>
      <w:r w:rsidRPr="006F7496">
        <w:rPr>
          <w:rFonts w:asciiTheme="minorHAnsi" w:hAnsiTheme="minorHAnsi" w:cstheme="minorHAnsi"/>
        </w:rPr>
        <w:t xml:space="preserve">Nacionalinis teismas iš esmės siekė išsiaiškinti, ar </w:t>
      </w:r>
      <w:r>
        <w:rPr>
          <w:rFonts w:asciiTheme="minorHAnsi" w:hAnsiTheme="minorHAnsi" w:cstheme="minorHAnsi"/>
        </w:rPr>
        <w:t xml:space="preserve">pagal </w:t>
      </w:r>
      <w:r w:rsidRPr="00426D8A">
        <w:rPr>
          <w:rFonts w:asciiTheme="minorHAnsi" w:hAnsiTheme="minorHAnsi" w:cstheme="minorHAnsi"/>
        </w:rPr>
        <w:t>E</w:t>
      </w:r>
      <w:r>
        <w:rPr>
          <w:rFonts w:asciiTheme="minorHAnsi" w:hAnsiTheme="minorHAnsi" w:cstheme="minorHAnsi"/>
        </w:rPr>
        <w:t xml:space="preserve">uropos </w:t>
      </w:r>
      <w:r w:rsidRPr="00426D8A">
        <w:rPr>
          <w:rFonts w:asciiTheme="minorHAnsi" w:hAnsiTheme="minorHAnsi" w:cstheme="minorHAnsi"/>
        </w:rPr>
        <w:t>S</w:t>
      </w:r>
      <w:r>
        <w:rPr>
          <w:rFonts w:asciiTheme="minorHAnsi" w:hAnsiTheme="minorHAnsi" w:cstheme="minorHAnsi"/>
        </w:rPr>
        <w:t xml:space="preserve">ąjungos </w:t>
      </w:r>
      <w:r w:rsidRPr="00426D8A">
        <w:rPr>
          <w:rFonts w:asciiTheme="minorHAnsi" w:hAnsiTheme="minorHAnsi" w:cstheme="minorHAnsi"/>
        </w:rPr>
        <w:t>S</w:t>
      </w:r>
      <w:r>
        <w:rPr>
          <w:rFonts w:asciiTheme="minorHAnsi" w:hAnsiTheme="minorHAnsi" w:cstheme="minorHAnsi"/>
        </w:rPr>
        <w:t>utarties (toliau – ESS)</w:t>
      </w:r>
      <w:r w:rsidRPr="00426D8A">
        <w:rPr>
          <w:rFonts w:asciiTheme="minorHAnsi" w:hAnsiTheme="minorHAnsi" w:cstheme="minorHAnsi"/>
        </w:rPr>
        <w:t xml:space="preserve"> 4</w:t>
      </w:r>
      <w:r w:rsidR="00B850BE">
        <w:rPr>
          <w:rFonts w:asciiTheme="minorHAnsi" w:hAnsiTheme="minorHAnsi" w:cstheme="minorHAnsi"/>
        </w:rPr>
        <w:t> </w:t>
      </w:r>
      <w:r w:rsidRPr="00426D8A">
        <w:rPr>
          <w:rFonts w:asciiTheme="minorHAnsi" w:hAnsiTheme="minorHAnsi" w:cstheme="minorHAnsi"/>
        </w:rPr>
        <w:t>straipsnio 2 dal</w:t>
      </w:r>
      <w:r>
        <w:rPr>
          <w:rFonts w:asciiTheme="minorHAnsi" w:hAnsiTheme="minorHAnsi" w:cstheme="minorHAnsi"/>
        </w:rPr>
        <w:t>į</w:t>
      </w:r>
      <w:r w:rsidRPr="00426D8A">
        <w:rPr>
          <w:rFonts w:asciiTheme="minorHAnsi" w:hAnsiTheme="minorHAnsi" w:cstheme="minorHAnsi"/>
        </w:rPr>
        <w:t xml:space="preserve">, </w:t>
      </w:r>
      <w:r>
        <w:rPr>
          <w:rFonts w:asciiTheme="minorHAnsi" w:hAnsiTheme="minorHAnsi" w:cstheme="minorHAnsi"/>
        </w:rPr>
        <w:t xml:space="preserve">Sutarties dėl Europos Sąjungos veikimo (toliau – </w:t>
      </w:r>
      <w:r w:rsidRPr="00426D8A">
        <w:rPr>
          <w:rFonts w:asciiTheme="minorHAnsi" w:hAnsiTheme="minorHAnsi" w:cstheme="minorHAnsi"/>
        </w:rPr>
        <w:t>SESV</w:t>
      </w:r>
      <w:r>
        <w:rPr>
          <w:rFonts w:asciiTheme="minorHAnsi" w:hAnsiTheme="minorHAnsi" w:cstheme="minorHAnsi"/>
        </w:rPr>
        <w:t xml:space="preserve">) </w:t>
      </w:r>
      <w:r w:rsidRPr="00426D8A">
        <w:rPr>
          <w:rFonts w:asciiTheme="minorHAnsi" w:hAnsiTheme="minorHAnsi" w:cstheme="minorHAnsi"/>
        </w:rPr>
        <w:t>20 ir 21 straipsni</w:t>
      </w:r>
      <w:r>
        <w:rPr>
          <w:rFonts w:asciiTheme="minorHAnsi" w:hAnsiTheme="minorHAnsi" w:cstheme="minorHAnsi"/>
        </w:rPr>
        <w:t>us</w:t>
      </w:r>
      <w:r w:rsidRPr="00426D8A">
        <w:rPr>
          <w:rFonts w:asciiTheme="minorHAnsi" w:hAnsiTheme="minorHAnsi" w:cstheme="minorHAnsi"/>
        </w:rPr>
        <w:t xml:space="preserve"> ir </w:t>
      </w:r>
      <w:r>
        <w:rPr>
          <w:rFonts w:asciiTheme="minorHAnsi" w:hAnsiTheme="minorHAnsi" w:cstheme="minorHAnsi"/>
        </w:rPr>
        <w:t xml:space="preserve">ES pagrindinių teisių chartijos (toliau – </w:t>
      </w:r>
      <w:r w:rsidRPr="00426D8A">
        <w:rPr>
          <w:rFonts w:asciiTheme="minorHAnsi" w:hAnsiTheme="minorHAnsi" w:cstheme="minorHAnsi"/>
        </w:rPr>
        <w:t>Chartij</w:t>
      </w:r>
      <w:r>
        <w:rPr>
          <w:rFonts w:asciiTheme="minorHAnsi" w:hAnsiTheme="minorHAnsi" w:cstheme="minorHAnsi"/>
        </w:rPr>
        <w:t xml:space="preserve">a) </w:t>
      </w:r>
      <w:r w:rsidRPr="00426D8A">
        <w:rPr>
          <w:rFonts w:asciiTheme="minorHAnsi" w:hAnsiTheme="minorHAnsi" w:cstheme="minorHAnsi"/>
        </w:rPr>
        <w:t>7, 24 ir 45 straipsni</w:t>
      </w:r>
      <w:r>
        <w:rPr>
          <w:rFonts w:asciiTheme="minorHAnsi" w:hAnsiTheme="minorHAnsi" w:cstheme="minorHAnsi"/>
        </w:rPr>
        <w:t>us</w:t>
      </w:r>
      <w:r w:rsidRPr="00426D8A">
        <w:rPr>
          <w:rFonts w:asciiTheme="minorHAnsi" w:hAnsiTheme="minorHAnsi" w:cstheme="minorHAnsi"/>
        </w:rPr>
        <w:t xml:space="preserve"> valstybė narė įpareigojama išduoti gimimo liudijimą, siekiant gauti asmens tapatybės dokumentą vaikui, kuris yra šios valstybės narės pilietis ir kurio gimimą kitoje valstybėje narėje patvirtina tos kitos valstybės narės valdžios institucijų pagal jos nacionalinę teisę parengtas gimimo liudijimas, kuriame kaip šio vaiko motinos nurodytos pirmosios iš šių valstybių narių pilietė ir jos sutuoktinė, nenurodant, kuri iš šių dviejų moterų pagimdė tą vaiką</w:t>
      </w:r>
      <w:r w:rsidRPr="006F7496">
        <w:rPr>
          <w:rFonts w:asciiTheme="minorHAnsi" w:hAnsiTheme="minorHAnsi" w:cstheme="minorHAnsi"/>
        </w:rPr>
        <w:t>.</w:t>
      </w:r>
    </w:p>
    <w:p w14:paraId="614A4EAB" w14:textId="48995391" w:rsidR="00B51A6D" w:rsidRPr="00F80B2D" w:rsidRDefault="00B51A6D" w:rsidP="00B51A6D">
      <w:pPr>
        <w:tabs>
          <w:tab w:val="left" w:pos="6379"/>
        </w:tabs>
        <w:ind w:firstLine="540"/>
        <w:rPr>
          <w:rFonts w:asciiTheme="minorHAnsi" w:hAnsiTheme="minorHAnsi" w:cstheme="minorHAnsi"/>
        </w:rPr>
      </w:pPr>
      <w:r w:rsidRPr="003808B9">
        <w:rPr>
          <w:rFonts w:asciiTheme="minorHAnsi" w:hAnsiTheme="minorHAnsi" w:cstheme="minorHAnsi"/>
        </w:rPr>
        <w:t xml:space="preserve">Teisingumo Teismas </w:t>
      </w:r>
      <w:r>
        <w:rPr>
          <w:rFonts w:asciiTheme="minorHAnsi" w:hAnsiTheme="minorHAnsi" w:cstheme="minorHAnsi"/>
        </w:rPr>
        <w:t xml:space="preserve">nurodė, kad </w:t>
      </w:r>
      <w:r w:rsidRPr="00077BDF">
        <w:rPr>
          <w:rFonts w:asciiTheme="minorHAnsi" w:hAnsiTheme="minorHAnsi" w:cstheme="minorHAnsi"/>
        </w:rPr>
        <w:t xml:space="preserve">valstybių narių piliečiams pagal SESV 21 straipsnio 1 dalį pripažįstamos teisės apima teisę gyventi įprastą šeimos gyvenimą kartu su savo šeimos nariais tiek priimančiojoje valstybėje narėje, tiek savo pilietybės valstybėje narėje grįžus iš pirmosios valstybės narės. Kadangi Ispanijos valdžios institucijos pagal teisės aktus nustatė giminystės ryšį (biologinį ar teisinį) tarp </w:t>
      </w:r>
      <w:r>
        <w:rPr>
          <w:rFonts w:asciiTheme="minorHAnsi" w:hAnsiTheme="minorHAnsi" w:cstheme="minorHAnsi"/>
        </w:rPr>
        <w:t xml:space="preserve">vaiko </w:t>
      </w:r>
      <w:r w:rsidRPr="00077BDF">
        <w:rPr>
          <w:rFonts w:asciiTheme="minorHAnsi" w:hAnsiTheme="minorHAnsi" w:cstheme="minorHAnsi"/>
        </w:rPr>
        <w:t xml:space="preserve">ir jo abiejų motinų </w:t>
      </w:r>
      <w:r>
        <w:rPr>
          <w:rFonts w:asciiTheme="minorHAnsi" w:hAnsiTheme="minorHAnsi" w:cstheme="minorHAnsi"/>
        </w:rPr>
        <w:t>bei</w:t>
      </w:r>
      <w:r w:rsidRPr="00077BDF">
        <w:rPr>
          <w:rFonts w:asciiTheme="minorHAnsi" w:hAnsiTheme="minorHAnsi" w:cstheme="minorHAnsi"/>
        </w:rPr>
        <w:t xml:space="preserve"> jį patvirtino vaikui išduotame gimimo liudijime, vadinasi, pagal SESV 21</w:t>
      </w:r>
      <w:r w:rsidR="00B850BE">
        <w:rPr>
          <w:rFonts w:asciiTheme="minorHAnsi" w:hAnsiTheme="minorHAnsi" w:cstheme="minorHAnsi"/>
        </w:rPr>
        <w:t> </w:t>
      </w:r>
      <w:r w:rsidRPr="00077BDF">
        <w:rPr>
          <w:rFonts w:asciiTheme="minorHAnsi" w:hAnsiTheme="minorHAnsi" w:cstheme="minorHAnsi"/>
        </w:rPr>
        <w:t>straipsnį ir Direktyvą 2004/38</w:t>
      </w:r>
      <w:r>
        <w:rPr>
          <w:rStyle w:val="Puslapioinaosnuoroda"/>
          <w:rFonts w:asciiTheme="minorHAnsi" w:hAnsiTheme="minorHAnsi" w:cstheme="minorHAnsi"/>
        </w:rPr>
        <w:footnoteReference w:id="10"/>
      </w:r>
      <w:r>
        <w:rPr>
          <w:rFonts w:asciiTheme="minorHAnsi" w:hAnsiTheme="minorHAnsi" w:cstheme="minorHAnsi"/>
        </w:rPr>
        <w:t xml:space="preserve"> abejoms motinoms</w:t>
      </w:r>
      <w:r w:rsidRPr="00077BDF">
        <w:rPr>
          <w:rFonts w:asciiTheme="minorHAnsi" w:hAnsiTheme="minorHAnsi" w:cstheme="minorHAnsi"/>
        </w:rPr>
        <w:t>, kaip nepilnamečio Sąjungos piliečio tėvams, kurie faktiškai jį globoja, turi būti visose valstybėse narėse pripažinta teisė jį lydėti, kai jis naudojasi šiomis teisėmis.</w:t>
      </w:r>
      <w:r>
        <w:rPr>
          <w:rFonts w:asciiTheme="minorHAnsi" w:hAnsiTheme="minorHAnsi" w:cstheme="minorHAnsi"/>
        </w:rPr>
        <w:t xml:space="preserve"> </w:t>
      </w:r>
      <w:r w:rsidRPr="00077BDF">
        <w:rPr>
          <w:rFonts w:asciiTheme="minorHAnsi" w:hAnsiTheme="minorHAnsi" w:cstheme="minorHAnsi"/>
        </w:rPr>
        <w:t xml:space="preserve">Iš to matyti, pirma, kad </w:t>
      </w:r>
      <w:r w:rsidRPr="00F830D5">
        <w:rPr>
          <w:rFonts w:asciiTheme="minorHAnsi" w:hAnsiTheme="minorHAnsi" w:cstheme="minorHAnsi"/>
        </w:rPr>
        <w:t>valstybės narės turi pripažinti šį giminystės ryšį tam, kad vaikas galėtų su kiekviena iš savo motinų naudotis savo teise laisvai judėti</w:t>
      </w:r>
      <w:r>
        <w:rPr>
          <w:rFonts w:asciiTheme="minorHAnsi" w:hAnsiTheme="minorHAnsi" w:cstheme="minorHAnsi"/>
        </w:rPr>
        <w:t xml:space="preserve">. </w:t>
      </w:r>
      <w:r w:rsidRPr="00F80B2D">
        <w:rPr>
          <w:rFonts w:asciiTheme="minorHAnsi" w:hAnsiTheme="minorHAnsi" w:cstheme="minorHAnsi"/>
        </w:rPr>
        <w:t>Antra, abi motinos turi turėti dokumentą, suteikiantį joms teisę keliauti su šiuo vaiku. Priimančiosios valstybės narės valdžios institucijoms paprasčiausia parengti tokį dokumentą, kuris gali būti gimimo liudijimas ir kurį kitos valstybės narės privalo pripažinti.</w:t>
      </w:r>
    </w:p>
    <w:p w14:paraId="7AB8E5E9" w14:textId="77777777" w:rsidR="00B51A6D" w:rsidRDefault="00B51A6D" w:rsidP="00B51A6D">
      <w:pPr>
        <w:tabs>
          <w:tab w:val="left" w:pos="6379"/>
        </w:tabs>
        <w:ind w:firstLine="540"/>
        <w:rPr>
          <w:rFonts w:asciiTheme="minorHAnsi" w:hAnsiTheme="minorHAnsi" w:cstheme="minorHAnsi"/>
        </w:rPr>
      </w:pPr>
      <w:r>
        <w:rPr>
          <w:rFonts w:asciiTheme="minorHAnsi" w:hAnsiTheme="minorHAnsi" w:cstheme="minorHAnsi"/>
        </w:rPr>
        <w:t xml:space="preserve">Teisingumo Teismo nuomone, </w:t>
      </w:r>
      <w:r w:rsidRPr="00F830D5">
        <w:rPr>
          <w:rFonts w:asciiTheme="minorHAnsi" w:hAnsiTheme="minorHAnsi" w:cstheme="minorHAnsi"/>
          <w:u w:val="single"/>
        </w:rPr>
        <w:t>įpareigojimas, kad valstybė narė, pirma, išduotų asmens tapatybės dokumentą šios valstybės narės pilietybę turinčiam vaikui, gimusiam kitoje valstybėje narėje, kurioje buvo parengtas gimimo liudijimas, ir jame kaip jo tėvus nurodytų du tos pačios lyties asmenis ir, antra, pripažintų šio vaiko giminystės ryšį su šiais abiem asmenimis, kad jis galėtų pasinaudoti jam pagal SESV 21 straipsnį ir su juo susijusius antrinės teisės aktus suteikiamomis teisėmis, nepažeidžia šios valstybės narės nacionalinio savitumo ir nekelia grėsmės jos viešajai tvarkai</w:t>
      </w:r>
      <w:r w:rsidRPr="008F6077">
        <w:rPr>
          <w:rFonts w:asciiTheme="minorHAnsi" w:hAnsiTheme="minorHAnsi" w:cstheme="minorHAnsi"/>
        </w:rPr>
        <w:t>. Iš tiesų toks įpareigojimas nereiškia, kad atitinkama valstybė narė privalo savo nacionalinėje teisėje numatyti tos pačios lyties asmenų tėvystę arba kitais tikslais nei naudojimasis teisėmis, kurias šis vaikas turi pagal Sąjungos teisę, pripažinti giminystės ryšį tarp minėto vaiko ir asmenų, kurie priimančiosios valstybės narės valdžios institucijų parengtame gimimo liudijime nurodyti kaip jo tėvai.</w:t>
      </w:r>
    </w:p>
    <w:p w14:paraId="22591C26" w14:textId="3A9ECE1D" w:rsidR="00B51A6D" w:rsidRDefault="00B51A6D" w:rsidP="00B51A6D">
      <w:pPr>
        <w:tabs>
          <w:tab w:val="left" w:pos="6379"/>
        </w:tabs>
        <w:ind w:firstLine="540"/>
        <w:rPr>
          <w:rFonts w:asciiTheme="minorHAnsi" w:hAnsiTheme="minorHAnsi" w:cstheme="minorHAnsi"/>
        </w:rPr>
      </w:pPr>
      <w:r>
        <w:rPr>
          <w:rFonts w:asciiTheme="minorHAnsi" w:hAnsiTheme="minorHAnsi" w:cstheme="minorHAnsi"/>
        </w:rPr>
        <w:t xml:space="preserve">Atsižvelgdamas į tai, Teisingumo Teismas sprendė, kad </w:t>
      </w:r>
      <w:r w:rsidRPr="00931BF7">
        <w:rPr>
          <w:rFonts w:asciiTheme="minorHAnsi" w:hAnsiTheme="minorHAnsi" w:cstheme="minorHAnsi"/>
        </w:rPr>
        <w:t>ESS 4 straipsnio 2 dalis, SESV 20 ir 21</w:t>
      </w:r>
      <w:r w:rsidR="00B850BE">
        <w:rPr>
          <w:rFonts w:asciiTheme="minorHAnsi" w:hAnsiTheme="minorHAnsi" w:cstheme="minorHAnsi"/>
        </w:rPr>
        <w:t> </w:t>
      </w:r>
      <w:r w:rsidRPr="00931BF7">
        <w:rPr>
          <w:rFonts w:asciiTheme="minorHAnsi" w:hAnsiTheme="minorHAnsi" w:cstheme="minorHAnsi"/>
        </w:rPr>
        <w:t xml:space="preserve">straipsniai, taip pat Chartijos 7, 24 ir 45 straipsniai, siejami su Direktyvos 2004/38 4 straipsnio 3 dalimi, turi būti aiškinami taip, kad nepilnamečiam vaikui, kuris yra Sąjungos pilietis ir kurio gimimo liudijime, išduotame priimančiosios valstybės narės kompetentingų valdžios institucijų, kaip jo tėvai nurodyti du tos pačios lyties asmenys, valstybė narė, kurios pilietis yra šis vaikas, privalo, pirma, išduoti asmens tapatybės kortelę arba pasą nereikalaudama, kad jos valdžios institucijos prieš tai parengtų gimimo liudijimą, ir, antra, kaip ir kitos valstybės narės, pripažinti priimančiosios valstybės narės išduotą dokumentą, </w:t>
      </w:r>
      <w:r w:rsidRPr="00931BF7">
        <w:rPr>
          <w:rFonts w:asciiTheme="minorHAnsi" w:hAnsiTheme="minorHAnsi" w:cstheme="minorHAnsi"/>
        </w:rPr>
        <w:lastRenderedPageBreak/>
        <w:t>suteikiantį šiam vaikui teisę laisvai judėti ir apsigyventi valstybių narių teritorijoje su kiekvienu iš šių dviejų asmenų.</w:t>
      </w:r>
    </w:p>
    <w:p w14:paraId="4F99A510" w14:textId="77777777" w:rsidR="00B51A6D" w:rsidRPr="00F830D5" w:rsidRDefault="00B51A6D" w:rsidP="00B51A6D">
      <w:pPr>
        <w:tabs>
          <w:tab w:val="left" w:pos="6379"/>
        </w:tabs>
        <w:ind w:firstLine="540"/>
        <w:rPr>
          <w:rStyle w:val="Hipersaitas"/>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 xml:space="preserve"> HYPERLINK "https://curia.europa.eu/juris/document/document.jsf?text=&amp;docid=251221&amp;pageIndex=0&amp;doclang=LT&amp;mode=lst&amp;dir=&amp;occ=first&amp;part=1&amp;cid=336313" </w:instrText>
      </w:r>
      <w:r>
        <w:rPr>
          <w:rFonts w:asciiTheme="minorHAnsi" w:hAnsiTheme="minorHAnsi" w:cstheme="minorHAnsi"/>
        </w:rPr>
        <w:fldChar w:fldCharType="separate"/>
      </w:r>
      <w:r w:rsidRPr="00F830D5">
        <w:rPr>
          <w:rStyle w:val="Hipersaitas"/>
          <w:rFonts w:asciiTheme="minorHAnsi" w:hAnsiTheme="minorHAnsi" w:cstheme="minorHAnsi"/>
        </w:rPr>
        <w:t>Prieiga internete</w:t>
      </w:r>
    </w:p>
    <w:p w14:paraId="6873C9EF" w14:textId="545E26AF" w:rsidR="00FB0885" w:rsidRPr="00312341" w:rsidRDefault="00B51A6D" w:rsidP="00B51A6D">
      <w:pPr>
        <w:pStyle w:val="Antrat1"/>
      </w:pPr>
      <w:r>
        <w:rPr>
          <w:szCs w:val="22"/>
        </w:rPr>
        <w:fldChar w:fldCharType="end"/>
      </w:r>
      <w:bookmarkStart w:id="28" w:name="_Toc105161237"/>
      <w:r w:rsidR="00FB0885" w:rsidRPr="0069032F">
        <w:t>L</w:t>
      </w:r>
      <w:r w:rsidR="00312341">
        <w:t>AISVAS KAPITALO JUDĖJIMAS</w:t>
      </w:r>
      <w:bookmarkEnd w:id="28"/>
    </w:p>
    <w:p w14:paraId="3D16B535" w14:textId="77777777" w:rsidR="00FB0885" w:rsidRPr="0069032F" w:rsidRDefault="00FB0885" w:rsidP="00FB0885">
      <w:pPr>
        <w:jc w:val="center"/>
        <w:rPr>
          <w:rFonts w:asciiTheme="minorHAnsi" w:hAnsiTheme="minorHAnsi" w:cstheme="minorHAnsi"/>
          <w:b/>
          <w:bCs/>
          <w:color w:val="002060"/>
          <w:lang w:eastAsia="lt-LT"/>
        </w:rPr>
      </w:pPr>
    </w:p>
    <w:p w14:paraId="2B3294DC" w14:textId="478863CA" w:rsidR="00FB0885" w:rsidRPr="0069032F" w:rsidRDefault="00FB0885" w:rsidP="00312341">
      <w:pPr>
        <w:pStyle w:val="Antrat1"/>
      </w:pPr>
      <w:bookmarkStart w:id="29" w:name="_Toc105161238"/>
      <w:r w:rsidRPr="0069032F">
        <w:t xml:space="preserve">2021 m. gruodžio 16 d. sprendimas byloje </w:t>
      </w:r>
      <w:r w:rsidRPr="0069032F">
        <w:rPr>
          <w:i/>
        </w:rPr>
        <w:t>Prefettura di Massa Carrara</w:t>
      </w:r>
      <w:r w:rsidR="00312341">
        <w:t xml:space="preserve">, </w:t>
      </w:r>
      <w:r w:rsidRPr="0069032F">
        <w:t>C</w:t>
      </w:r>
      <w:r w:rsidRPr="0069032F">
        <w:rPr>
          <w:rFonts w:ascii="Cambria Math" w:hAnsi="Cambria Math" w:cs="Cambria Math"/>
        </w:rPr>
        <w:t>‑</w:t>
      </w:r>
      <w:r w:rsidRPr="0069032F">
        <w:t>274/20</w:t>
      </w:r>
      <w:bookmarkEnd w:id="29"/>
    </w:p>
    <w:p w14:paraId="4E859742" w14:textId="77777777" w:rsidR="00FB0885" w:rsidRPr="0069032F" w:rsidRDefault="00FB0885" w:rsidP="00FB0885">
      <w:pPr>
        <w:jc w:val="center"/>
        <w:rPr>
          <w:rFonts w:asciiTheme="minorHAnsi" w:hAnsiTheme="minorHAnsi" w:cstheme="minorHAnsi"/>
          <w:b/>
          <w:bCs/>
          <w:iCs/>
          <w:shd w:val="clear" w:color="auto" w:fill="FFFFFF"/>
        </w:rPr>
      </w:pPr>
    </w:p>
    <w:p w14:paraId="7608A8EC" w14:textId="77777777" w:rsidR="00FB0885" w:rsidRPr="0069032F" w:rsidRDefault="00FB0885" w:rsidP="00FB0885">
      <w:pPr>
        <w:pStyle w:val="c01pointnumerotealtn"/>
        <w:shd w:val="clear" w:color="auto" w:fill="FFFFFF"/>
        <w:spacing w:before="0" w:beforeAutospacing="0" w:after="0"/>
        <w:ind w:left="0" w:firstLine="567"/>
        <w:rPr>
          <w:rFonts w:asciiTheme="minorHAnsi" w:hAnsiTheme="minorHAnsi" w:cstheme="minorHAnsi"/>
          <w:sz w:val="22"/>
          <w:szCs w:val="22"/>
        </w:rPr>
      </w:pPr>
      <w:r w:rsidRPr="0069032F">
        <w:rPr>
          <w:rFonts w:asciiTheme="minorHAnsi" w:hAnsiTheme="minorHAnsi" w:cstheme="minorHAnsi"/>
          <w:sz w:val="22"/>
          <w:szCs w:val="22"/>
        </w:rPr>
        <w:t>Laisvas kapitalo judėjimas – Kelių eismas – Motorinių transporto priemonių registravimas ir apmokestinimas – Tam tikroje valstybėje narėje gyvenantis vairuotojas – Kitoje valstybėje narėje įregistruota transporto priemonė – Transporto priemonė, suteikta naudotis neatlygintinai trumpam laikui – Nacionalinės teisės aktų nuostatos, draudžiančios ilgiau nei 60 dienų toje valstybėje narėje gyvenantiems asmenims vairuoti užsienyje registruotą transporto priemonę</w:t>
      </w:r>
    </w:p>
    <w:p w14:paraId="45455FCB" w14:textId="77777777" w:rsidR="00FB0885" w:rsidRPr="0069032F" w:rsidRDefault="00FB0885" w:rsidP="00FB0885">
      <w:pPr>
        <w:pStyle w:val="c01pointnumerotealtn"/>
        <w:shd w:val="clear" w:color="auto" w:fill="FFFFFF"/>
        <w:spacing w:before="0" w:beforeAutospacing="0" w:after="0"/>
        <w:ind w:left="0" w:firstLine="567"/>
        <w:rPr>
          <w:rFonts w:asciiTheme="minorHAnsi" w:hAnsiTheme="minorHAnsi" w:cstheme="minorHAnsi"/>
          <w:sz w:val="22"/>
          <w:szCs w:val="22"/>
        </w:rPr>
      </w:pPr>
    </w:p>
    <w:p w14:paraId="1178C48B" w14:textId="77777777" w:rsidR="00FB0885" w:rsidRPr="0069032F" w:rsidRDefault="00FB0885" w:rsidP="00FB0885">
      <w:pPr>
        <w:jc w:val="center"/>
        <w:rPr>
          <w:rFonts w:asciiTheme="minorHAnsi" w:hAnsiTheme="minorHAnsi" w:cstheme="minorHAnsi"/>
          <w:b/>
          <w:bCs/>
          <w:color w:val="000000"/>
          <w:shd w:val="clear" w:color="auto" w:fill="FFFFFF"/>
        </w:rPr>
      </w:pPr>
      <w:r w:rsidRPr="0069032F">
        <w:rPr>
          <w:rFonts w:asciiTheme="minorHAnsi" w:hAnsiTheme="minorHAnsi" w:cstheme="minorHAnsi"/>
          <w:b/>
          <w:bCs/>
          <w:color w:val="000000"/>
          <w:shd w:val="clear" w:color="auto" w:fill="FFFFFF"/>
        </w:rPr>
        <w:t>Bylos aplinkybės</w:t>
      </w:r>
    </w:p>
    <w:p w14:paraId="6118BB25" w14:textId="77777777" w:rsidR="00FB0885" w:rsidRPr="0069032F" w:rsidRDefault="00FB0885" w:rsidP="00FB0885">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0CD0728E" w14:textId="77777777" w:rsidR="00FB0885" w:rsidRPr="0069032F" w:rsidRDefault="00FB0885" w:rsidP="00FB0885">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Fiziniams asmenims</w:t>
      </w:r>
      <w:r w:rsidRPr="0069032F">
        <w:rPr>
          <w:rFonts w:asciiTheme="minorHAnsi" w:hAnsiTheme="minorHAnsi" w:cstheme="minorHAnsi"/>
          <w:shd w:val="clear" w:color="auto" w:fill="FFFFFF"/>
        </w:rPr>
        <w:t xml:space="preserve"> GN, kuris gyvena Italijoje, ir jo sutuoktinei WX, kuri gyvena Slovakijoje, buvo surašytas teisės pažeidimo protokolas ir atliktas automobilio poėmis už tai, kad jie WX priklausančiu ir Slovakijoje registruotu automobiliu važiavo į prekybos centrą, iš pradžių šį automobilį vairavo WX, o vėliau – GN, t. y. </w:t>
      </w:r>
      <w:r w:rsidRPr="0069032F">
        <w:rPr>
          <w:rFonts w:asciiTheme="minorHAnsi" w:hAnsiTheme="minorHAnsi" w:cstheme="minorHAnsi"/>
          <w:iCs/>
          <w:shd w:val="clear" w:color="auto" w:fill="FFFFFF"/>
        </w:rPr>
        <w:t>daugiau kaip 60 dienų Italijoje gyvenantis GN vairavo užsienyje registruotą automobilį, nors pagal taikytiną nacionalinę teisę ilgiau nei 60 dienų Italijoje gyvenantys asmenys neturi teisės šioje šalyje vairuoti užsienyje registruoto automobilio.</w:t>
      </w:r>
    </w:p>
    <w:p w14:paraId="33C76B95" w14:textId="77777777" w:rsidR="00FB0885" w:rsidRPr="0069032F" w:rsidRDefault="00FB0885" w:rsidP="00FB0885">
      <w:pPr>
        <w:ind w:firstLine="567"/>
        <w:rPr>
          <w:rFonts w:asciiTheme="minorHAnsi" w:hAnsiTheme="minorHAnsi" w:cstheme="minorHAnsi"/>
          <w:shd w:val="clear" w:color="auto" w:fill="FFFFFF"/>
        </w:rPr>
      </w:pPr>
      <w:r w:rsidRPr="0069032F">
        <w:rPr>
          <w:rFonts w:asciiTheme="minorHAnsi" w:hAnsiTheme="minorHAnsi" w:cstheme="minorHAnsi"/>
          <w:iCs/>
          <w:shd w:val="clear" w:color="auto" w:fill="FFFFFF"/>
        </w:rPr>
        <w:t xml:space="preserve">Ginčą dėl GN ir WX surašyto teisės pažeidimo protokolo nagrinėjusiam </w:t>
      </w:r>
      <w:r w:rsidRPr="0069032F">
        <w:rPr>
          <w:rFonts w:asciiTheme="minorHAnsi" w:hAnsiTheme="minorHAnsi" w:cstheme="minorHAnsi"/>
          <w:i/>
          <w:iCs/>
          <w:shd w:val="clear" w:color="auto" w:fill="FFFFFF"/>
        </w:rPr>
        <w:t xml:space="preserve">Giudice di pace di Massa </w:t>
      </w:r>
      <w:r w:rsidRPr="0069032F">
        <w:rPr>
          <w:rFonts w:asciiTheme="minorHAnsi" w:hAnsiTheme="minorHAnsi" w:cstheme="minorHAnsi"/>
          <w:iCs/>
          <w:shd w:val="clear" w:color="auto" w:fill="FFFFFF"/>
        </w:rPr>
        <w:t xml:space="preserve">(Masos taikos teisėjas, Italija) kilo abejonių dėl nurodyto </w:t>
      </w:r>
      <w:r w:rsidRPr="0069032F">
        <w:rPr>
          <w:rFonts w:asciiTheme="minorHAnsi" w:hAnsiTheme="minorHAnsi" w:cstheme="minorHAnsi"/>
          <w:shd w:val="clear" w:color="auto" w:fill="FFFFFF"/>
        </w:rPr>
        <w:t>Italijos teisės aktų nuostatose įtvirtinto draudimo, todėl jis nutarė sustabdyti bylos nagrinėjimą ir pateikti Teisingumo Teismui prejudicinius klausimus, kuriais siekė išsiaiškinti, ar SESV 18, 21, 26, 45, 49–55 ir 56–62 straipsniai turi būti aiškinami taip, kad pagal juos draudžiama nacionalinės teisės nuostata, pagal kurią bet kuriam asmeniui, gyvenančiam vienoje valstybėje narėje ilgiau nei 60 dienų, negalima vairuoti kitoje valstybėje narėje registruoto automobilio (neatsižvelgiant į tai, kieno vardu ši transporto priemonė registruota).</w:t>
      </w:r>
    </w:p>
    <w:p w14:paraId="0476FD3D" w14:textId="77777777" w:rsidR="00FB0885" w:rsidRPr="0069032F" w:rsidRDefault="00FB0885" w:rsidP="00FB0885">
      <w:pPr>
        <w:ind w:firstLine="567"/>
        <w:rPr>
          <w:rFonts w:asciiTheme="minorHAnsi" w:hAnsiTheme="minorHAnsi" w:cstheme="minorHAnsi"/>
          <w:color w:val="000000"/>
          <w:shd w:val="clear" w:color="auto" w:fill="FFFFFF"/>
        </w:rPr>
      </w:pPr>
    </w:p>
    <w:p w14:paraId="63DDB2EC" w14:textId="77777777" w:rsidR="00FB0885" w:rsidRPr="0069032F" w:rsidRDefault="00FB0885" w:rsidP="00FB0885">
      <w:pPr>
        <w:jc w:val="center"/>
        <w:rPr>
          <w:rFonts w:asciiTheme="minorHAnsi" w:hAnsiTheme="minorHAnsi" w:cstheme="minorHAnsi"/>
          <w:b/>
          <w:bCs/>
          <w:color w:val="000000"/>
          <w:shd w:val="clear" w:color="auto" w:fill="FFFFFF"/>
        </w:rPr>
      </w:pPr>
      <w:r w:rsidRPr="0069032F">
        <w:rPr>
          <w:rFonts w:asciiTheme="minorHAnsi" w:hAnsiTheme="minorHAnsi" w:cstheme="minorHAnsi"/>
          <w:b/>
          <w:bCs/>
          <w:color w:val="000000"/>
          <w:shd w:val="clear" w:color="auto" w:fill="FFFFFF"/>
        </w:rPr>
        <w:t>Teisingumo Teismo vertinimas</w:t>
      </w:r>
    </w:p>
    <w:p w14:paraId="4B25F68E" w14:textId="77777777" w:rsidR="00FB0885" w:rsidRPr="0069032F" w:rsidRDefault="00FB0885" w:rsidP="00FB0885">
      <w:pPr>
        <w:ind w:firstLine="567"/>
        <w:rPr>
          <w:rFonts w:asciiTheme="minorHAnsi" w:hAnsiTheme="minorHAnsi" w:cstheme="minorHAnsi"/>
          <w:color w:val="000000"/>
          <w:shd w:val="clear" w:color="auto" w:fill="FFFFFF"/>
        </w:rPr>
      </w:pPr>
    </w:p>
    <w:p w14:paraId="0A7071DE" w14:textId="77777777" w:rsidR="00FB0885" w:rsidRPr="00312341" w:rsidRDefault="00FB0885" w:rsidP="00312341">
      <w:pPr>
        <w:pStyle w:val="Antrat3"/>
        <w:tabs>
          <w:tab w:val="clear" w:pos="567"/>
          <w:tab w:val="left" w:pos="426"/>
        </w:tabs>
        <w:ind w:firstLine="567"/>
      </w:pPr>
      <w:bookmarkStart w:id="30" w:name="_Toc105161239"/>
      <w:r w:rsidRPr="00312341">
        <w:t>Dėl nacionalinės teisės akto nuostatos, draudžiančios ilgiau nei 60 dienų toje valstybėje narėje gyvenantiems asmenims vairuoti užsienyje registruotą transporto priemonę</w:t>
      </w:r>
      <w:bookmarkEnd w:id="30"/>
    </w:p>
    <w:p w14:paraId="16CD01AE" w14:textId="77777777" w:rsidR="00FB0885" w:rsidRPr="0069032F" w:rsidRDefault="00FB0885" w:rsidP="00FB0885">
      <w:pPr>
        <w:ind w:firstLine="567"/>
        <w:rPr>
          <w:rFonts w:asciiTheme="minorHAnsi" w:hAnsiTheme="minorHAnsi" w:cstheme="minorHAnsi"/>
          <w:color w:val="000000"/>
          <w:shd w:val="clear" w:color="auto" w:fill="FFFFFF"/>
        </w:rPr>
      </w:pPr>
    </w:p>
    <w:p w14:paraId="51C6343F" w14:textId="77777777" w:rsidR="00FB0885" w:rsidRPr="0069032F" w:rsidRDefault="00FB0885" w:rsidP="00FB0885">
      <w:pPr>
        <w:ind w:firstLine="567"/>
        <w:rPr>
          <w:rFonts w:asciiTheme="minorHAnsi" w:hAnsiTheme="minorHAnsi" w:cstheme="minorHAnsi"/>
          <w:color w:val="000000"/>
          <w:shd w:val="clear" w:color="auto" w:fill="FFFFFF"/>
        </w:rPr>
      </w:pPr>
      <w:r w:rsidRPr="0069032F">
        <w:rPr>
          <w:rFonts w:asciiTheme="minorHAnsi" w:eastAsia="Times New Roman" w:hAnsiTheme="minorHAnsi" w:cstheme="minorHAnsi"/>
          <w:color w:val="000000"/>
          <w:lang w:eastAsia="lt-LT"/>
        </w:rPr>
        <w:t xml:space="preserve">Pirmiausia Teisingumo Teismas </w:t>
      </w:r>
      <w:r w:rsidRPr="0069032F">
        <w:rPr>
          <w:rFonts w:asciiTheme="minorHAnsi" w:hAnsiTheme="minorHAnsi" w:cstheme="minorHAnsi"/>
          <w:color w:val="000000"/>
          <w:shd w:val="clear" w:color="auto" w:fill="FFFFFF"/>
        </w:rPr>
        <w:t xml:space="preserve">pažymėjo, kad net jei, formaliai žiūrint, prašymo priimti prejudicinį sprendimą teismo pateikti klausimai susiję su SESV 18, 21, 26, 45, 49–55 ir 56–62 straipsnių išaiškinimu, ši aplinkybė netrukdo Teisingumo Teismui pateikti jam visų Sąjungos teisės aiškinimo aspektų, kurie galėtų būti naudingi sprendimui jo nagrinėjamoje byloje priimti, neatsižvelgiant į tai, ar nacionalinis teismas apie tai užsiminė minėtuose klausimuose. Šiuo aspektu Teisingumo Teismas priminė, jog jau yra nusprendęs dėl skirtingose valstybėse narėse gyvenančių piliečių sutartos panaudos, kad </w:t>
      </w:r>
      <w:r w:rsidRPr="0069032F">
        <w:rPr>
          <w:rFonts w:asciiTheme="minorHAnsi" w:hAnsiTheme="minorHAnsi" w:cstheme="minorHAnsi"/>
          <w:color w:val="000000"/>
          <w:u w:val="single"/>
          <w:shd w:val="clear" w:color="auto" w:fill="FFFFFF"/>
        </w:rPr>
        <w:t>automobilio tarptautinė panauda yra laisvas kapitalo judėjimas, kaip jis suprantamas pagal SESV 63 straipsnį</w:t>
      </w:r>
      <w:r w:rsidRPr="0069032F">
        <w:rPr>
          <w:rFonts w:asciiTheme="minorHAnsi" w:hAnsiTheme="minorHAnsi" w:cstheme="minorHAnsi"/>
          <w:color w:val="000000"/>
          <w:shd w:val="clear" w:color="auto" w:fill="FFFFFF"/>
        </w:rPr>
        <w:t>.</w:t>
      </w:r>
    </w:p>
    <w:p w14:paraId="3BCF2C07" w14:textId="77777777" w:rsidR="00FB0885" w:rsidRPr="0069032F" w:rsidRDefault="00FB0885" w:rsidP="00FB0885">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 xml:space="preserve">Teisingumo Teismas atkreipė dėmesį, kad </w:t>
      </w:r>
      <w:r w:rsidRPr="0069032F">
        <w:rPr>
          <w:rFonts w:asciiTheme="minorHAnsi" w:hAnsiTheme="minorHAnsi" w:cstheme="minorHAnsi"/>
          <w:color w:val="000000"/>
          <w:u w:val="single"/>
          <w:shd w:val="clear" w:color="auto" w:fill="FFFFFF"/>
        </w:rPr>
        <w:t>valstybės narės nustatytos priemonės, kurios gali atgrasyti rezidentus nuo panaudos sutarčių kitose valstybėse narėse, yra apribojimai pagal SESV 63 straipsnio 1 dalį</w:t>
      </w:r>
      <w:r w:rsidRPr="0069032F">
        <w:rPr>
          <w:rFonts w:asciiTheme="minorHAnsi" w:hAnsiTheme="minorHAnsi" w:cstheme="minorHAnsi"/>
          <w:color w:val="000000"/>
          <w:shd w:val="clear" w:color="auto" w:fill="FFFFFF"/>
        </w:rPr>
        <w:t>. Savo ruožtu pagal Italijos nacionalinės teisės akto nuostatas asmenims, kurie gyvena Italijoje daugiau kaip 60 dienų, draudžiama vairuoti užsienyje registruotą transporto priemonę. Taigi ilgiau nei 60 dienų Italijoje gyvenantis asmuo, kaip antai GN, kuris naudojasi kitoje valstybėje narėje registruotu automobiliu ir nori jį vairuoti Italijoje, privalo šį automobilį įregistruoti pastarojoje valstybėje narėje, o tai, kaip nurodė prašymą priimti prejudicinį sprendimą pateikęs teismas, reiškia asmens pareigą sumokėti mokesčius ir rinkliavas, taip pat atlikti sudėtingus administracinius formalumus.</w:t>
      </w:r>
    </w:p>
    <w:p w14:paraId="15D8EBE7" w14:textId="77777777" w:rsidR="00FB0885" w:rsidRPr="0069032F" w:rsidRDefault="00FB0885" w:rsidP="00FB0885">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 xml:space="preserve">Šiuo aspektu Teisingumo Teismas pabrėžė, kad pagrindinis panaudos elementas yra galimybė naudoti panaudos būdu gautus daiktus, todėl reikia konstatuoti, jog pagrindinėje byloje ginčijamų </w:t>
      </w:r>
      <w:r w:rsidRPr="0069032F">
        <w:rPr>
          <w:rFonts w:asciiTheme="minorHAnsi" w:hAnsiTheme="minorHAnsi" w:cstheme="minorHAnsi"/>
          <w:color w:val="000000"/>
          <w:u w:val="single"/>
          <w:shd w:val="clear" w:color="auto" w:fill="FFFFFF"/>
        </w:rPr>
        <w:t xml:space="preserve">nacionalinės teisės nuostatų, kuriose daugiau nei 60 dienų Italijoje gyvenantiems asmenims nustatomas mokestis, mokėtinas Italijos keliuose panaudojus kitoje valstybėje narėje įregistruotą transporto priemonę, įskaitant panaudos būdu gautą iš kitos valstybės narės rezidento, pasekmė yra tarptautinės </w:t>
      </w:r>
      <w:r w:rsidRPr="0069032F">
        <w:rPr>
          <w:rFonts w:asciiTheme="minorHAnsi" w:hAnsiTheme="minorHAnsi" w:cstheme="minorHAnsi"/>
          <w:color w:val="000000"/>
          <w:u w:val="single"/>
          <w:shd w:val="clear" w:color="auto" w:fill="FFFFFF"/>
        </w:rPr>
        <w:lastRenderedPageBreak/>
        <w:t>motorinių transporto priemonių panaudos apmokestinimas</w:t>
      </w:r>
      <w:r w:rsidRPr="0069032F">
        <w:rPr>
          <w:rFonts w:asciiTheme="minorHAnsi" w:hAnsiTheme="minorHAnsi" w:cstheme="minorHAnsi"/>
          <w:color w:val="000000"/>
          <w:shd w:val="clear" w:color="auto" w:fill="FFFFFF"/>
        </w:rPr>
        <w:t>. Kita vertus, Italijoje registruotos transporto priemonės panauda šiuo mokesčiu neapmokestinama. Toks skirtingas vertinimas, priklausomai nuo valstybės, kurioje įregistruota naudotis suteikta transporto priemonė, gali atgrasyti Italijos rezidentus priimti iš kitos valstybės narės rezidentų neatlygintinai naudoti toje valstybėje narėje įregistruotą transporto priemonę. Taigi nurodyta nacionalinės teisės nuostata tiek, kiek ji gali atgrasyti Italijos rezidentus pasinaudoti panauda kitose valstybėse narėse, reiškia laisvo kapitalo judėjimo apribojimą, kaip tai suprantama pagal SESV 63 straipsnio 1 dalį.</w:t>
      </w:r>
    </w:p>
    <w:p w14:paraId="3DDEAAD9" w14:textId="77777777" w:rsidR="00FB0885" w:rsidRPr="0069032F" w:rsidRDefault="00FB0885" w:rsidP="00FB0885">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 xml:space="preserve">Spręsdamas dėl nustatyto apribojimo pateisinimo, Teisingumo Teismas priminė, kad, kiek tai susiję, be kita ko, su kovos su sukčiavimu registracijos mokesčio ir motorinių transporto priemonių mokesčio srityse tikslais, </w:t>
      </w:r>
      <w:r w:rsidRPr="0069032F">
        <w:rPr>
          <w:rFonts w:asciiTheme="minorHAnsi" w:hAnsiTheme="minorHAnsi" w:cstheme="minorHAnsi"/>
          <w:color w:val="000000"/>
          <w:u w:val="single"/>
          <w:shd w:val="clear" w:color="auto" w:fill="FFFFFF"/>
        </w:rPr>
        <w:t>valstybė narė gali registracijos mokesčiu apmokestinti kitoje valstybėje narėje įregistruotą automobilį, kai šis yra skirtas nuolat naudoti daugiausia pirmojoje valstybėje narėje arba kai faktiškai taip naudojamas</w:t>
      </w:r>
      <w:r w:rsidRPr="0069032F">
        <w:rPr>
          <w:rFonts w:asciiTheme="minorHAnsi" w:hAnsiTheme="minorHAnsi" w:cstheme="minorHAnsi"/>
          <w:color w:val="000000"/>
          <w:shd w:val="clear" w:color="auto" w:fill="FFFFFF"/>
        </w:rPr>
        <w:t xml:space="preserve">. Vis dėlto, jeigu šios sąlygos nėra tenkinamos, vienoje valstybėje narėje registruotos transporto priemonės susiejimas su kita valstybe nare yra nežymus, vadinasi, nagrinėjamam apribojimui reikalingas kitoks pateisinimas. Todėl prašymą priimti prejudicinį sprendimą pateikęs teismas turi įvertinti pagrindinėse bylose nagrinėjamos panaudos trukmę ir faktinį gautų transporto priemonių naudojimą. Šiame kontekste dėl tikslo užkirsti kelią piktnaudžiavimui Teisingumo Teismas pažymėjo, kad nors teisės subjektai negali apgaule arba piktnaudžiaudami remtis Sąjungos teise, </w:t>
      </w:r>
      <w:r w:rsidRPr="0069032F">
        <w:rPr>
          <w:rFonts w:asciiTheme="minorHAnsi" w:hAnsiTheme="minorHAnsi" w:cstheme="minorHAnsi"/>
          <w:color w:val="000000"/>
          <w:u w:val="single"/>
          <w:shd w:val="clear" w:color="auto" w:fill="FFFFFF"/>
        </w:rPr>
        <w:t>bendra piktnaudžiavimo prezumpcija negali būti grindžiama ta aplinkybe, kad Italijoje gyvenantis asmuo šios valstybės narės teritorijoje naudojasi kitoje valstybėje narėje registruota transporto priemone, kurią jam neatlygintinai suteikė naudotis toje kitoje valstybėje narėje gyvenantis asmuo</w:t>
      </w:r>
      <w:r w:rsidRPr="0069032F">
        <w:rPr>
          <w:rFonts w:asciiTheme="minorHAnsi" w:hAnsiTheme="minorHAnsi" w:cstheme="minorHAnsi"/>
          <w:color w:val="000000"/>
          <w:shd w:val="clear" w:color="auto" w:fill="FFFFFF"/>
        </w:rPr>
        <w:t>.</w:t>
      </w:r>
    </w:p>
    <w:p w14:paraId="224D2DEF" w14:textId="77777777" w:rsidR="00FB0885" w:rsidRPr="0069032F" w:rsidRDefault="00FB0885" w:rsidP="00FB0885">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Dėl Italijos vyriausybės rašytinėse pastabose nurodyto pateisinimo (būtinybės vykdyti veiksmingus patikrinimus keliuose) Teisingumo Teismas nurodė, jog nėra aišku, dėl kokių priežasčių už patikrinimų vykdymą atsakingoms policijos pajėgoms būtų sunku (ar net neįmanoma) nustatyti asmenų, iš tikrųjų vairuojančių užsienyje registruotas transporto priemones, tapatybę. Be to, dėl šios vyriausybės nurodyto tikslo užtikrinti, kad atitinkamas vairuotojas negalėtų naudotis palankesnėmis draudimo įmokomis, pažymėta, kad nei iš nutarties dėl prašymo priimti prejudicinį sprendimą, nei iš šios vyriausybės rašytinių pastabų nėra aišku, kodėl šis tikslas laikytinas teisėtu su SESV suderinamu tikslu, pateisinamu privalomaisiais bendrojo intereso pagrindais. Galiausiai pagal suformuotą jurisprudenciją apmokestinamųjų pajamų sumažėjimas negali būti laikomas privalomuoju bendrojo intereso pagrindu, kuriuo galima pagrįsti pagrindinei laisvei prieštaraujančią priemonę.</w:t>
      </w:r>
    </w:p>
    <w:p w14:paraId="05E80145" w14:textId="77777777" w:rsidR="00FB0885" w:rsidRPr="0069032F" w:rsidRDefault="00FB0885" w:rsidP="00FB0885">
      <w:pPr>
        <w:ind w:firstLine="567"/>
        <w:rPr>
          <w:rFonts w:asciiTheme="minorHAnsi" w:hAnsiTheme="minorHAnsi" w:cstheme="minorHAnsi"/>
          <w:color w:val="000000"/>
          <w:shd w:val="clear" w:color="auto" w:fill="FFFFFF"/>
        </w:rPr>
      </w:pPr>
      <w:r w:rsidRPr="0069032F">
        <w:rPr>
          <w:rFonts w:asciiTheme="minorHAnsi" w:hAnsiTheme="minorHAnsi" w:cstheme="minorHAnsi"/>
          <w:iCs/>
          <w:shd w:val="clear" w:color="auto" w:fill="FFFFFF"/>
        </w:rPr>
        <w:t>Atsižvelgęs į tai, Teisingumo Teismas konstatavo, kad SESV 63 straipsnio 1 dalis turi būti aiškinama taip, kad pagal ją draudžiamos valstybės narės teisės aktų nuostatos, draudžiančios bet kuriam asmeniui, gyvenančiam šioje valstybėje narėje ilgiau nei 60 dienų, vairuoti kitoje valstybėje narėje registruotą automobilį (neatsižvelgiant į tai, kieno vardu ši transporto priemonė registruota, ir į jos naudojimo pirmojoje valstybėje narėje trukmę), nesuteikiant atitinkamam asmeniui galimybės pasinaudoti teise į atleidimą nuo mokesčio, kai transporto priemonė nėra skirta nuolat naudoti daugiausia pirmojoje valstybėje narėje ir nėra realiai taip naudojama.</w:t>
      </w:r>
    </w:p>
    <w:p w14:paraId="30856692" w14:textId="77777777" w:rsidR="00FB0885" w:rsidRPr="0069032F" w:rsidRDefault="004D029A" w:rsidP="00FB0885">
      <w:pPr>
        <w:ind w:firstLine="567"/>
        <w:rPr>
          <w:rFonts w:asciiTheme="minorHAnsi" w:hAnsiTheme="minorHAnsi" w:cstheme="minorHAnsi"/>
          <w:color w:val="0000FF"/>
          <w:u w:val="single"/>
        </w:rPr>
      </w:pPr>
      <w:hyperlink r:id="rId18" w:history="1">
        <w:r w:rsidR="00FB0885" w:rsidRPr="0069032F">
          <w:rPr>
            <w:rStyle w:val="Hipersaitas"/>
            <w:rFonts w:asciiTheme="minorHAnsi" w:hAnsiTheme="minorHAnsi" w:cstheme="minorHAnsi"/>
          </w:rPr>
          <w:t>Prieiga internete</w:t>
        </w:r>
      </w:hyperlink>
    </w:p>
    <w:p w14:paraId="60DBB9CD" w14:textId="77777777" w:rsidR="00FB0885" w:rsidRPr="0069032F" w:rsidRDefault="00FB0885" w:rsidP="00C8171C">
      <w:pPr>
        <w:ind w:firstLine="567"/>
        <w:jc w:val="center"/>
        <w:rPr>
          <w:rFonts w:asciiTheme="minorHAnsi" w:hAnsiTheme="minorHAnsi" w:cstheme="minorHAnsi"/>
          <w:b/>
          <w:bCs/>
          <w:color w:val="002060"/>
        </w:rPr>
      </w:pPr>
    </w:p>
    <w:p w14:paraId="5EA42B5E" w14:textId="77777777" w:rsidR="0081236B" w:rsidRPr="0069032F" w:rsidRDefault="0081236B" w:rsidP="00312341">
      <w:pPr>
        <w:pStyle w:val="Antrat1"/>
      </w:pPr>
      <w:bookmarkStart w:id="31" w:name="_Toc105161240"/>
      <w:r w:rsidRPr="00312341">
        <w:t>SOCIALINĖ</w:t>
      </w:r>
      <w:r w:rsidRPr="0069032F">
        <w:t xml:space="preserve"> APSAUGA</w:t>
      </w:r>
      <w:bookmarkEnd w:id="31"/>
    </w:p>
    <w:p w14:paraId="5B209FFF" w14:textId="77777777" w:rsidR="0081236B" w:rsidRPr="0069032F" w:rsidRDefault="0081236B" w:rsidP="0081236B">
      <w:pPr>
        <w:rPr>
          <w:rFonts w:asciiTheme="minorHAnsi" w:hAnsiTheme="minorHAnsi" w:cstheme="minorHAnsi"/>
          <w:color w:val="002060"/>
          <w:lang w:eastAsia="lt-LT"/>
        </w:rPr>
      </w:pPr>
    </w:p>
    <w:p w14:paraId="0DA6D43A" w14:textId="20FE2CA0" w:rsidR="0081236B" w:rsidRPr="0069032F" w:rsidRDefault="0081236B" w:rsidP="00312341">
      <w:pPr>
        <w:pStyle w:val="Antrat1"/>
        <w:rPr>
          <w:i/>
          <w:shd w:val="clear" w:color="auto" w:fill="FFFFFF"/>
        </w:rPr>
      </w:pPr>
      <w:bookmarkStart w:id="32" w:name="_Toc105161241"/>
      <w:r w:rsidRPr="0069032F">
        <w:t xml:space="preserve">2021 m. rugsėjo 30 d. sprendimas byloje </w:t>
      </w:r>
      <w:r w:rsidRPr="0069032F">
        <w:rPr>
          <w:i/>
          <w:shd w:val="clear" w:color="auto" w:fill="FFFFFF"/>
        </w:rPr>
        <w:t>K</w:t>
      </w:r>
      <w:r w:rsidR="00312341">
        <w:rPr>
          <w:i/>
          <w:shd w:val="clear" w:color="auto" w:fill="FFFFFF"/>
        </w:rPr>
        <w:t xml:space="preserve">, </w:t>
      </w:r>
      <w:r w:rsidRPr="0069032F">
        <w:rPr>
          <w:bCs/>
        </w:rPr>
        <w:t>C</w:t>
      </w:r>
      <w:r w:rsidRPr="0069032F">
        <w:rPr>
          <w:bCs/>
        </w:rPr>
        <w:noBreakHyphen/>
        <w:t>285/20</w:t>
      </w:r>
      <w:bookmarkEnd w:id="32"/>
    </w:p>
    <w:p w14:paraId="54287FB3" w14:textId="77777777" w:rsidR="0081236B" w:rsidRPr="0069032F" w:rsidRDefault="0081236B" w:rsidP="0081236B">
      <w:pPr>
        <w:ind w:firstLine="567"/>
        <w:jc w:val="center"/>
        <w:rPr>
          <w:rFonts w:asciiTheme="minorHAnsi" w:hAnsiTheme="minorHAnsi" w:cstheme="minorHAnsi"/>
          <w:b/>
          <w:bCs/>
          <w:i/>
          <w:shd w:val="clear" w:color="auto" w:fill="FFFFFF"/>
        </w:rPr>
      </w:pPr>
    </w:p>
    <w:p w14:paraId="30B7CC92" w14:textId="7B6088A9" w:rsidR="0081236B" w:rsidRPr="0069032F" w:rsidRDefault="0081236B" w:rsidP="0081236B">
      <w:pPr>
        <w:tabs>
          <w:tab w:val="left" w:pos="6379"/>
        </w:tabs>
        <w:ind w:firstLine="540"/>
        <w:rPr>
          <w:rFonts w:asciiTheme="minorHAnsi" w:hAnsiTheme="minorHAnsi" w:cstheme="minorHAnsi"/>
          <w:iCs/>
        </w:rPr>
      </w:pPr>
      <w:r w:rsidRPr="0069032F">
        <w:rPr>
          <w:rFonts w:asciiTheme="minorHAnsi" w:hAnsiTheme="minorHAnsi" w:cstheme="minorHAnsi"/>
          <w:iCs/>
        </w:rPr>
        <w:t>Reglamentas (EB) Nr. 883/2004 – 65 straipsnio 2 ir 5 dalys – Taikymo sritis – Darbuotojas, tapęs visišku bedarbiu – Bedarbio išmokos – Darbuotojas, kuris gyvena ir dirba pagal darbo sutartį kompetentingoje valstybėje narėje – Jo gyvenamosios vietos perkėlimas į kitą valstybę narę – Asmuo, kuris prieš tapdamas visišku bedarbiu faktiškai nedirbo kompetentingoje valstybėje narėje – Asmuo, kuris tapo laikinai nedarbingas dėl ligos ir dėl to gauna kompetentingos valstybės narės mokamas ligos išmokas – Darbas pagal darbo sutartį – Panašios teisinės situacijos</w:t>
      </w:r>
    </w:p>
    <w:p w14:paraId="162FCF03" w14:textId="77777777" w:rsidR="0081236B" w:rsidRPr="0069032F" w:rsidRDefault="0081236B" w:rsidP="0081236B">
      <w:pPr>
        <w:tabs>
          <w:tab w:val="left" w:pos="6379"/>
        </w:tabs>
        <w:ind w:firstLine="540"/>
        <w:jc w:val="center"/>
        <w:rPr>
          <w:rFonts w:asciiTheme="minorHAnsi" w:hAnsiTheme="minorHAnsi" w:cstheme="minorHAnsi"/>
          <w:b/>
        </w:rPr>
      </w:pPr>
    </w:p>
    <w:p w14:paraId="432574FD" w14:textId="77777777" w:rsidR="0081236B" w:rsidRPr="0069032F" w:rsidRDefault="0081236B" w:rsidP="0081236B">
      <w:pPr>
        <w:tabs>
          <w:tab w:val="left" w:pos="6379"/>
        </w:tabs>
        <w:jc w:val="center"/>
        <w:rPr>
          <w:rFonts w:asciiTheme="minorHAnsi" w:hAnsiTheme="minorHAnsi" w:cstheme="minorHAnsi"/>
          <w:b/>
        </w:rPr>
      </w:pPr>
      <w:r w:rsidRPr="0069032F">
        <w:rPr>
          <w:rFonts w:asciiTheme="minorHAnsi" w:hAnsiTheme="minorHAnsi" w:cstheme="minorHAnsi"/>
          <w:b/>
        </w:rPr>
        <w:t>Bylos aplinkybės</w:t>
      </w:r>
    </w:p>
    <w:p w14:paraId="0F05F205" w14:textId="77777777" w:rsidR="0081236B" w:rsidRPr="0069032F" w:rsidRDefault="0081236B" w:rsidP="0081236B">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722250B4" w14:textId="77777777" w:rsidR="0081236B" w:rsidRPr="0069032F" w:rsidRDefault="0081236B" w:rsidP="0081236B">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lastRenderedPageBreak/>
        <w:t>Prašymas priimti prejudicinį sprendimą pateiktas dėl Reglamento Nr. 883/2004</w:t>
      </w:r>
      <w:r w:rsidRPr="0069032F">
        <w:rPr>
          <w:rStyle w:val="Puslapioinaosnuoroda"/>
          <w:rFonts w:asciiTheme="minorHAnsi" w:hAnsiTheme="minorHAnsi" w:cstheme="minorHAnsi"/>
          <w:iCs/>
          <w:shd w:val="clear" w:color="auto" w:fill="FFFFFF"/>
        </w:rPr>
        <w:footnoteReference w:id="11"/>
      </w:r>
      <w:r w:rsidRPr="0069032F">
        <w:rPr>
          <w:rFonts w:asciiTheme="minorHAnsi" w:hAnsiTheme="minorHAnsi" w:cstheme="minorHAnsi"/>
          <w:iCs/>
          <w:shd w:val="clear" w:color="auto" w:fill="FFFFFF"/>
        </w:rPr>
        <w:t xml:space="preserve"> 65 straipsnio 2 ir 5 dalių išaiškinimo,</w:t>
      </w:r>
      <w:r w:rsidRPr="0069032F">
        <w:rPr>
          <w:rFonts w:asciiTheme="minorHAnsi" w:hAnsiTheme="minorHAnsi" w:cstheme="minorHAnsi"/>
          <w:color w:val="000000"/>
        </w:rPr>
        <w:t xml:space="preserve"> </w:t>
      </w:r>
      <w:r w:rsidRPr="0069032F">
        <w:rPr>
          <w:rFonts w:asciiTheme="minorHAnsi" w:hAnsiTheme="minorHAnsi" w:cstheme="minorHAnsi"/>
          <w:iCs/>
          <w:shd w:val="clear" w:color="auto" w:fill="FFFFFF"/>
        </w:rPr>
        <w:t>nagrinėjant K ir Nyderlandų Darbuotojų draudimo administravimo instituto ginčą dėl pastarojo atsisakymo jam mokėti bedarbio išmokas pasibaigus laikino nedarbingumo laikotarpiui kitoje valstybėje narėje nei Nyderlandų Karalystė, per kurį jis toje kitoje valstybėje narėje gavo ligos išmokas.</w:t>
      </w:r>
    </w:p>
    <w:p w14:paraId="297EEDA5" w14:textId="77777777" w:rsidR="0081236B" w:rsidRPr="0069032F" w:rsidRDefault="0081236B" w:rsidP="0081236B">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 xml:space="preserve">Pareiškėjas gyveno ir dirbo Vokietijoje, o nuo 2015 m. spalio 14 d. jis tapo laikinai nedarbingas ir gavo ligos išmokas Vokietijoje iki 2016 m. balandžio 4 d., kai tapo visišku bedarbiu. Nuo 2016 m. vasario 2 d. pareiškėjas perkėlė savo gyvenamąją vietą į Nyderlandus. </w:t>
      </w:r>
    </w:p>
    <w:p w14:paraId="056FAE48" w14:textId="77777777" w:rsidR="0081236B" w:rsidRPr="0069032F" w:rsidRDefault="0081236B" w:rsidP="0081236B">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Nacionalinis teismas sprendė, kad pareiškėjas nėra pasienio darbuotojas ir neturi teisės į bedarbio išmoką Nyderlanduose pagal Reglamento Nr. 883/2004 65 straipsnį.</w:t>
      </w:r>
      <w:r w:rsidRPr="0069032F">
        <w:rPr>
          <w:rFonts w:asciiTheme="minorHAnsi" w:hAnsiTheme="minorHAnsi" w:cstheme="minorHAnsi"/>
          <w:color w:val="000000"/>
        </w:rPr>
        <w:t xml:space="preserve"> </w:t>
      </w:r>
      <w:r w:rsidRPr="0069032F">
        <w:rPr>
          <w:rFonts w:asciiTheme="minorHAnsi" w:hAnsiTheme="minorHAnsi" w:cstheme="minorHAnsi"/>
          <w:color w:val="000000"/>
          <w:shd w:val="clear" w:color="auto" w:fill="FFFFFF"/>
        </w:rPr>
        <w:t>Prašymą priimti prejudicinį sprendimą pateikęs teismas suabejojo tokiu vertinimu ir kreipėsi į Teisingumo Teismą prašydamas išsiaiškinti, ar Reglamento Nr. 883/2004 65 straipsnio 2 ir 5 dalys turi būti aiškinamos taip, kad jos taikomos tokiai situacijai, kai atitinkamas asmuo, prieš tapdamas visišku bedarbiu, gyveno kitoje valstybėje narėje, kuri nėra kompetentinga valstybė narė, ir faktiškai nedirbo pagal darbo sutartį, bet buvo laikinai nedarbingas dėl ligos ir dėl to gavo kompetentingos valstybės narės mokamas ligos išmokas; taip pat, ar Reglamento Nr. 883/2004 65 straipsnio 2 ir 5 dalys turi būti aiškinamos taip, kad jas taikant svarbiomis laikytinos priežastys, pavyzdžiui, šeiminės priežastys, dėl kurių atitinkamas asmuo persikėlė gyventi į kitą valstybę narę, kuri nėra kompetentinga valstybė narė.</w:t>
      </w:r>
    </w:p>
    <w:p w14:paraId="287DC3BE" w14:textId="77777777" w:rsidR="0081236B" w:rsidRPr="0069032F" w:rsidRDefault="0081236B" w:rsidP="0081236B">
      <w:pPr>
        <w:ind w:firstLine="567"/>
        <w:rPr>
          <w:rFonts w:asciiTheme="minorHAnsi" w:hAnsiTheme="minorHAnsi" w:cstheme="minorHAnsi"/>
          <w:color w:val="000000"/>
          <w:shd w:val="clear" w:color="auto" w:fill="FFFFFF"/>
        </w:rPr>
      </w:pPr>
    </w:p>
    <w:p w14:paraId="7BCB23B7" w14:textId="77777777" w:rsidR="0081236B" w:rsidRPr="0069032F" w:rsidRDefault="0081236B" w:rsidP="0081236B">
      <w:pPr>
        <w:jc w:val="center"/>
        <w:rPr>
          <w:rFonts w:asciiTheme="minorHAnsi" w:hAnsiTheme="minorHAnsi" w:cstheme="minorHAnsi"/>
          <w:b/>
          <w:bCs/>
          <w:color w:val="000000"/>
          <w:shd w:val="clear" w:color="auto" w:fill="FFFFFF"/>
        </w:rPr>
      </w:pPr>
      <w:r w:rsidRPr="0069032F">
        <w:rPr>
          <w:rFonts w:asciiTheme="minorHAnsi" w:hAnsiTheme="minorHAnsi" w:cstheme="minorHAnsi"/>
          <w:b/>
          <w:bCs/>
          <w:color w:val="000000"/>
          <w:shd w:val="clear" w:color="auto" w:fill="FFFFFF"/>
        </w:rPr>
        <w:t>Teisingumo Teismo vertinimas</w:t>
      </w:r>
    </w:p>
    <w:p w14:paraId="3B261F90" w14:textId="77777777" w:rsidR="0081236B" w:rsidRPr="0069032F" w:rsidRDefault="0081236B" w:rsidP="0081236B">
      <w:pPr>
        <w:ind w:firstLine="567"/>
        <w:jc w:val="center"/>
        <w:rPr>
          <w:rFonts w:asciiTheme="minorHAnsi" w:hAnsiTheme="minorHAnsi" w:cstheme="minorHAnsi"/>
          <w:b/>
          <w:bCs/>
          <w:color w:val="000000"/>
          <w:shd w:val="clear" w:color="auto" w:fill="FFFFFF"/>
        </w:rPr>
      </w:pPr>
    </w:p>
    <w:p w14:paraId="4095A95C" w14:textId="221116C9" w:rsidR="0081236B" w:rsidRPr="00312341" w:rsidRDefault="0081236B" w:rsidP="00312341">
      <w:pPr>
        <w:pStyle w:val="Antrat3"/>
        <w:tabs>
          <w:tab w:val="clear" w:pos="567"/>
          <w:tab w:val="left" w:pos="426"/>
        </w:tabs>
        <w:ind w:firstLine="567"/>
      </w:pPr>
      <w:bookmarkStart w:id="33" w:name="_Toc105161242"/>
      <w:r w:rsidRPr="00312341">
        <w:t>Dėl</w:t>
      </w:r>
      <w:r w:rsidR="00E0354B">
        <w:t xml:space="preserve"> </w:t>
      </w:r>
      <w:r w:rsidRPr="00312341">
        <w:t>Reglamento Nr. 883/2004 65 straipsnio 2 ir 5 dalių aiškinimo ir taikymo situacijai, kai prieš tapdamas visišku bedarbiu atitinkamas asmuo gyveno kitoje valstybėje narėje, kuri nėra kompetentinga valstybė narė, ir faktiškai nedirbo pagal darbo sutartį, bet tapo laikinai nedarbingas dėl ligos</w:t>
      </w:r>
      <w:bookmarkEnd w:id="33"/>
    </w:p>
    <w:p w14:paraId="488F044A" w14:textId="77777777" w:rsidR="0081236B" w:rsidRPr="00FF0FF7" w:rsidRDefault="0081236B" w:rsidP="00FF0FF7"/>
    <w:p w14:paraId="31A46ADE" w14:textId="77777777" w:rsidR="0081236B" w:rsidRPr="0069032F" w:rsidRDefault="0081236B" w:rsidP="0081236B">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Teisingumo Teismas pažymėjo, kad Reglamento Nr. 883/2004 65 straipsnio 2 ir 5 dalyse vartojamą sąvoką „dirbdamas paskiausią darbą pagal darbo sutartį“ reikia aiškinti atsižvelgiant į šio reglamento 1 straipsnio a punktą. Minėto reglamento tikslu šioje nuostatoje sąvoka „darbas pagal darbo sutartį“ apibrėžiama kaip „bet kuri veikla arba statusas, laikomi tokiais pagal tos valstybės narės, kurioje verčiamasi šia veikla arba egzistuoja šis statusas, socialinės apsaugos įstatymus“.</w:t>
      </w:r>
    </w:p>
    <w:p w14:paraId="0BA49447" w14:textId="77777777" w:rsidR="0081236B" w:rsidRPr="0069032F" w:rsidRDefault="0081236B" w:rsidP="0081236B">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Todėl Teisingumo Teismas padarė išvadą, kad situacija, kai atitinkamas asmuo faktiškai nedirba pagal darbo sutartį kompetentingoje valstybėje narėje, bet tampa laikinai nedarbingas dėl ligos ir dėl to gauna šios valstybės narės mokamas ligos išmokas, gali būti laikoma teisine situacija, panašia į tą, kurioje yra asmuo, kuris dirba pagal darbo sutartį ir todėl patenka į Reglamento Nr. 883/2004 65 straipsnio 2 ir 5 dalių taikymo sritį, su sąlyga, kad pagal kompetentingos valstybės narės nacionalinę teisę tokių išmokų gavimas prilyginamas darbui pagal darbo sutartį.</w:t>
      </w:r>
    </w:p>
    <w:p w14:paraId="43D9222A" w14:textId="0987A0AB" w:rsidR="0081236B" w:rsidRPr="0069032F" w:rsidRDefault="0081236B" w:rsidP="0081236B">
      <w:pPr>
        <w:ind w:firstLine="567"/>
        <w:rPr>
          <w:rFonts w:asciiTheme="minorHAnsi" w:eastAsia="Times New Roman" w:hAnsiTheme="minorHAnsi" w:cstheme="minorHAnsi"/>
          <w:bCs/>
          <w:u w:val="single"/>
          <w:lang w:eastAsia="lt-LT"/>
        </w:rPr>
      </w:pPr>
      <w:r w:rsidRPr="0069032F">
        <w:rPr>
          <w:rFonts w:asciiTheme="minorHAnsi" w:hAnsiTheme="minorHAnsi" w:cstheme="minorHAnsi"/>
          <w:color w:val="000000"/>
          <w:shd w:val="clear" w:color="auto" w:fill="FFFFFF"/>
        </w:rPr>
        <w:t xml:space="preserve">Todėl </w:t>
      </w:r>
      <w:r w:rsidRPr="0069032F">
        <w:rPr>
          <w:rFonts w:asciiTheme="minorHAnsi" w:hAnsiTheme="minorHAnsi" w:cstheme="minorHAnsi"/>
          <w:color w:val="000000"/>
          <w:u w:val="single"/>
          <w:shd w:val="clear" w:color="auto" w:fill="FFFFFF"/>
        </w:rPr>
        <w:t>Reglamento Nr. 883/2004 65 straipsnio 2 ir 5 dalys turi būti aiškinamos taip, kad jos taikomos situacijai, kai prieš tapdamas visišku bedarbiu atitinkamas asmuo gyveno kitoje valstybėje narėje, kuri nėra kompetentinga valstybė narė, ir faktiškai nedirbo pagal darbo sutartį, bet tapo laikinai nedarbingas dėl ligos ir dėl to gavo kompetentingos valstybės narės mokamas ligos išmokas, tačiau su sąlyga, kad pagal kompetentingos valstybės narės nacionalinę teisę tokių išmokų gavimas prilyginamas darbui pagal darbo sutartį.</w:t>
      </w:r>
    </w:p>
    <w:p w14:paraId="7C006BD6" w14:textId="77777777" w:rsidR="0081236B" w:rsidRPr="0069032F" w:rsidRDefault="0081236B" w:rsidP="0081236B">
      <w:pPr>
        <w:ind w:firstLine="567"/>
        <w:rPr>
          <w:rFonts w:asciiTheme="minorHAnsi" w:hAnsiTheme="minorHAnsi" w:cstheme="minorHAnsi"/>
        </w:rPr>
      </w:pPr>
    </w:p>
    <w:p w14:paraId="3735F4FE" w14:textId="4B28E7A8" w:rsidR="0081236B" w:rsidRPr="00312341" w:rsidRDefault="0081236B" w:rsidP="00312341">
      <w:pPr>
        <w:pStyle w:val="Antrat3"/>
        <w:tabs>
          <w:tab w:val="clear" w:pos="567"/>
          <w:tab w:val="left" w:pos="426"/>
        </w:tabs>
        <w:ind w:firstLine="567"/>
      </w:pPr>
      <w:bookmarkStart w:id="34" w:name="_Toc105161243"/>
      <w:r w:rsidRPr="00312341">
        <w:t>Dėl</w:t>
      </w:r>
      <w:r w:rsidR="00E0354B">
        <w:t xml:space="preserve"> </w:t>
      </w:r>
      <w:r w:rsidRPr="00312341">
        <w:t>Reglamento Nr. 883/2004 65 straipsnio 2 ir 5 dalių aiškinimo ir taikymo, atsižvelgiant į svarbias priežastis</w:t>
      </w:r>
      <w:bookmarkEnd w:id="34"/>
    </w:p>
    <w:p w14:paraId="2C047EAE" w14:textId="77777777" w:rsidR="0081236B" w:rsidRPr="00FF0FF7" w:rsidRDefault="0081236B" w:rsidP="00FF0FF7"/>
    <w:p w14:paraId="437C9AD9" w14:textId="77777777" w:rsidR="0081236B" w:rsidRPr="0069032F" w:rsidRDefault="0081236B" w:rsidP="0081236B">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 xml:space="preserve">Teismas pažymėjo, kad jeigu Reglamento Nr. 883/2004 65 straipsnio 2 ir 5 dalys turėtų būti aiškinamos taip, kad jos taikomos tik asmenims, kurie perkėlė savo gyvenamąją vietą dėl tam tikrų priežasčių, pavyzdžiui, dėl šeiminių priežasčių, būtų apribota šios nuostatos taikymo sritis ir todėl atitinkamiems asmenims būtų sunkiau ieškoti darbo gyvenamosios vietos valstybėje narėje, kur daroma prielaida, kad šiems asmenims suteiktos palankiausios sąlygos ieškoti naujo darbo, juo labiau kad toks </w:t>
      </w:r>
      <w:r w:rsidRPr="0069032F">
        <w:rPr>
          <w:rFonts w:asciiTheme="minorHAnsi" w:hAnsiTheme="minorHAnsi" w:cstheme="minorHAnsi"/>
          <w:color w:val="000000"/>
          <w:shd w:val="clear" w:color="auto" w:fill="FFFFFF"/>
        </w:rPr>
        <w:lastRenderedPageBreak/>
        <w:t>gyvenamosios vietos perkėlimas paprastai įvyksta dėl įvairių priežasčių. Toks aiškinimas prieštarautų minėta nuostata siekiamam tikslui.</w:t>
      </w:r>
    </w:p>
    <w:p w14:paraId="1E4D552B" w14:textId="77777777" w:rsidR="0081236B" w:rsidRPr="0069032F" w:rsidRDefault="0081236B" w:rsidP="0081236B">
      <w:pPr>
        <w:ind w:firstLine="567"/>
        <w:rPr>
          <w:rFonts w:asciiTheme="minorHAnsi" w:hAnsiTheme="minorHAnsi" w:cstheme="minorHAnsi"/>
          <w:u w:val="single"/>
        </w:rPr>
      </w:pPr>
      <w:r w:rsidRPr="0069032F">
        <w:rPr>
          <w:rFonts w:asciiTheme="minorHAnsi" w:hAnsiTheme="minorHAnsi" w:cstheme="minorHAnsi"/>
          <w:color w:val="000000"/>
          <w:shd w:val="clear" w:color="auto" w:fill="FFFFFF"/>
        </w:rPr>
        <w:t xml:space="preserve">Todėl Teisingumo Teismas išaiškino, kad </w:t>
      </w:r>
      <w:r w:rsidRPr="0069032F">
        <w:rPr>
          <w:rFonts w:asciiTheme="minorHAnsi" w:hAnsiTheme="minorHAnsi" w:cstheme="minorHAnsi"/>
          <w:color w:val="000000"/>
          <w:u w:val="single"/>
          <w:shd w:val="clear" w:color="auto" w:fill="FFFFFF"/>
        </w:rPr>
        <w:t>Reglamento Nr. 883/2004 65 straipsnio 2 ir 5 dalys turi būti aiškinamos taip, kad jas taikant nereikia atsižvelgti į priežastis, pavyzdžiui, šeimines priežastis, dėl kurių atitinkamas asmuo perkėlė savo gyvenamąją vietą į kitą valstybę narę, kuri nėra kompetentinga valstybė narė.</w:t>
      </w:r>
    </w:p>
    <w:p w14:paraId="17C92066" w14:textId="77777777" w:rsidR="0081236B" w:rsidRPr="0069032F" w:rsidRDefault="004D029A" w:rsidP="0081236B">
      <w:pPr>
        <w:ind w:firstLine="567"/>
        <w:rPr>
          <w:rFonts w:asciiTheme="minorHAnsi" w:hAnsiTheme="minorHAnsi" w:cstheme="minorHAnsi"/>
          <w:color w:val="0000FF"/>
          <w:u w:val="single"/>
        </w:rPr>
      </w:pPr>
      <w:hyperlink r:id="rId19" w:history="1">
        <w:r w:rsidR="0081236B" w:rsidRPr="0069032F">
          <w:rPr>
            <w:rStyle w:val="Hipersaitas"/>
            <w:rFonts w:asciiTheme="minorHAnsi" w:hAnsiTheme="minorHAnsi" w:cstheme="minorHAnsi"/>
          </w:rPr>
          <w:t>Prieiga internete</w:t>
        </w:r>
      </w:hyperlink>
    </w:p>
    <w:p w14:paraId="7EA6B6B1" w14:textId="77777777" w:rsidR="00355E7D" w:rsidRPr="0069032F" w:rsidRDefault="00355E7D" w:rsidP="0081236B">
      <w:pPr>
        <w:rPr>
          <w:rFonts w:asciiTheme="minorHAnsi" w:hAnsiTheme="minorHAnsi" w:cstheme="minorHAnsi"/>
        </w:rPr>
      </w:pPr>
    </w:p>
    <w:p w14:paraId="043FD544" w14:textId="77777777" w:rsidR="0081236B" w:rsidRPr="0069032F" w:rsidRDefault="0081236B" w:rsidP="00312341">
      <w:pPr>
        <w:pStyle w:val="Antrat1"/>
      </w:pPr>
      <w:bookmarkStart w:id="35" w:name="_Toc105161244"/>
      <w:r w:rsidRPr="00312341">
        <w:t>SVEIKATOS</w:t>
      </w:r>
      <w:r w:rsidRPr="0069032F">
        <w:t xml:space="preserve"> APSAUGA</w:t>
      </w:r>
      <w:bookmarkEnd w:id="35"/>
    </w:p>
    <w:p w14:paraId="1FE55058" w14:textId="77777777" w:rsidR="0081236B" w:rsidRPr="0069032F" w:rsidRDefault="0081236B" w:rsidP="0081236B">
      <w:pPr>
        <w:rPr>
          <w:rFonts w:asciiTheme="minorHAnsi" w:hAnsiTheme="minorHAnsi" w:cstheme="minorHAnsi"/>
          <w:color w:val="002060"/>
          <w:lang w:eastAsia="lt-LT"/>
        </w:rPr>
      </w:pPr>
    </w:p>
    <w:p w14:paraId="3B48141D" w14:textId="742D3A41" w:rsidR="0081236B" w:rsidRPr="0069032F" w:rsidRDefault="0081236B" w:rsidP="00312341">
      <w:pPr>
        <w:pStyle w:val="Antrat1"/>
        <w:rPr>
          <w:shd w:val="clear" w:color="auto" w:fill="FFFFFF"/>
        </w:rPr>
      </w:pPr>
      <w:bookmarkStart w:id="36" w:name="_Toc105161245"/>
      <w:r w:rsidRPr="0069032F">
        <w:t xml:space="preserve">2021 m. spalio 6 d. sprendimas byloje </w:t>
      </w:r>
      <w:r w:rsidRPr="00BA40DC">
        <w:rPr>
          <w:i/>
          <w:iCs/>
          <w:shd w:val="clear" w:color="auto" w:fill="FFFFFF"/>
        </w:rPr>
        <w:t xml:space="preserve">TS, UT, </w:t>
      </w:r>
      <w:r w:rsidRPr="00BA40DC">
        <w:rPr>
          <w:i/>
          <w:iCs/>
        </w:rPr>
        <w:t>VU</w:t>
      </w:r>
      <w:r w:rsidRPr="00BA40DC">
        <w:rPr>
          <w:i/>
          <w:iCs/>
          <w:shd w:val="clear" w:color="auto" w:fill="FFFFFF"/>
        </w:rPr>
        <w:t xml:space="preserve"> prieš Casa Naţională de Asigurări de Sănătate,</w:t>
      </w:r>
      <w:r w:rsidRPr="00BA40DC">
        <w:rPr>
          <w:rFonts w:eastAsia="Times New Roman"/>
          <w:b w:val="0"/>
          <w:i/>
          <w:iCs/>
          <w:lang w:eastAsia="en-GB"/>
        </w:rPr>
        <w:t xml:space="preserve"> </w:t>
      </w:r>
      <w:r w:rsidRPr="00BA40DC">
        <w:rPr>
          <w:i/>
          <w:iCs/>
          <w:shd w:val="clear" w:color="auto" w:fill="FFFFFF"/>
        </w:rPr>
        <w:t>Casa de Asigurări de Sănătate Constanţa</w:t>
      </w:r>
      <w:r w:rsidR="00312341">
        <w:rPr>
          <w:shd w:val="clear" w:color="auto" w:fill="FFFFFF"/>
        </w:rPr>
        <w:t xml:space="preserve">, </w:t>
      </w:r>
      <w:r w:rsidRPr="0069032F">
        <w:t>C</w:t>
      </w:r>
      <w:r w:rsidRPr="0069032F">
        <w:noBreakHyphen/>
        <w:t>538/19</w:t>
      </w:r>
      <w:bookmarkEnd w:id="36"/>
    </w:p>
    <w:p w14:paraId="573875B3" w14:textId="77777777" w:rsidR="0081236B" w:rsidRPr="0069032F" w:rsidRDefault="0081236B" w:rsidP="0081236B">
      <w:pPr>
        <w:ind w:firstLine="567"/>
        <w:jc w:val="center"/>
        <w:rPr>
          <w:rFonts w:asciiTheme="minorHAnsi" w:hAnsiTheme="minorHAnsi" w:cstheme="minorHAnsi"/>
          <w:b/>
          <w:bCs/>
          <w:i/>
          <w:shd w:val="clear" w:color="auto" w:fill="FFFFFF"/>
        </w:rPr>
      </w:pPr>
    </w:p>
    <w:p w14:paraId="2C0833B6" w14:textId="2463973C" w:rsidR="0081236B" w:rsidRPr="0069032F" w:rsidRDefault="0081236B" w:rsidP="0081236B">
      <w:pPr>
        <w:tabs>
          <w:tab w:val="left" w:pos="6379"/>
        </w:tabs>
        <w:ind w:firstLine="540"/>
        <w:rPr>
          <w:rFonts w:asciiTheme="minorHAnsi" w:hAnsiTheme="minorHAnsi" w:cstheme="minorHAnsi"/>
          <w:iCs/>
        </w:rPr>
      </w:pPr>
      <w:r w:rsidRPr="0069032F">
        <w:rPr>
          <w:rFonts w:asciiTheme="minorHAnsi" w:hAnsiTheme="minorHAnsi" w:cstheme="minorHAnsi"/>
          <w:iCs/>
        </w:rPr>
        <w:t>Socialinė apsauga – Sveikatos draudimas – Reglamentas (EB) Nr. 883/2004 – 20 straipsnio 1 ir 2 dalys – Medicininis gydymas gautas kitoje nei apdraustojo asmens gyvenamosios vietos valstybėje narėje – Išankstinis leidimas – Sąlygos – Reikalavimas pateikti valstybinei sveikatos draudimo sistemai priklausančio gydytojo parengtą ataskaitą, kurioje skiriamas gydymas – Alternatyvus gydymas, skirtas antroje medicininėje nuomonėje, parengtoje kitoje nei apdrausto asmens gyvenamosios vietos valstybėje narėje, kuris yra pranašesnis, nes nesukelia neįgalumo – Visiškas medicinos išlaidų, susijusių su šiuo alternatyviu gydymu, kompensavimas – Laisvė teikti paslaugas – SESV 56 straipsnis</w:t>
      </w:r>
    </w:p>
    <w:p w14:paraId="51B4A53B" w14:textId="77777777" w:rsidR="0081236B" w:rsidRPr="0069032F" w:rsidRDefault="0081236B" w:rsidP="0081236B">
      <w:pPr>
        <w:tabs>
          <w:tab w:val="left" w:pos="6379"/>
        </w:tabs>
        <w:ind w:firstLine="540"/>
        <w:rPr>
          <w:rFonts w:asciiTheme="minorHAnsi" w:hAnsiTheme="minorHAnsi" w:cstheme="minorHAnsi"/>
          <w:b/>
        </w:rPr>
      </w:pPr>
    </w:p>
    <w:p w14:paraId="1A33B9A7" w14:textId="77777777" w:rsidR="0081236B" w:rsidRPr="0069032F" w:rsidRDefault="0081236B" w:rsidP="0081236B">
      <w:pPr>
        <w:tabs>
          <w:tab w:val="left" w:pos="6379"/>
        </w:tabs>
        <w:jc w:val="center"/>
        <w:rPr>
          <w:rFonts w:asciiTheme="minorHAnsi" w:hAnsiTheme="minorHAnsi" w:cstheme="minorHAnsi"/>
          <w:b/>
        </w:rPr>
      </w:pPr>
      <w:r w:rsidRPr="0069032F">
        <w:rPr>
          <w:rFonts w:asciiTheme="minorHAnsi" w:hAnsiTheme="minorHAnsi" w:cstheme="minorHAnsi"/>
          <w:b/>
        </w:rPr>
        <w:t>Bylos aplinkybės</w:t>
      </w:r>
    </w:p>
    <w:p w14:paraId="4D6600C0" w14:textId="77777777" w:rsidR="0081236B" w:rsidRPr="0069032F" w:rsidRDefault="0081236B" w:rsidP="0081236B">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5D37B1B8" w14:textId="77777777" w:rsidR="0081236B" w:rsidRPr="0069032F" w:rsidRDefault="0081236B" w:rsidP="0081236B">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Prašymas priimti prejudicinį sprendimą pateiktas dėl SESV 56 straipsnio ir Reglamento Nr. 883/2004</w:t>
      </w:r>
      <w:r w:rsidRPr="0069032F">
        <w:rPr>
          <w:rStyle w:val="Puslapioinaosnuoroda"/>
          <w:rFonts w:asciiTheme="minorHAnsi" w:hAnsiTheme="minorHAnsi" w:cstheme="minorHAnsi"/>
          <w:iCs/>
          <w:shd w:val="clear" w:color="auto" w:fill="FFFFFF"/>
        </w:rPr>
        <w:footnoteReference w:id="12"/>
      </w:r>
      <w:r w:rsidRPr="0069032F">
        <w:rPr>
          <w:rFonts w:asciiTheme="minorHAnsi" w:hAnsiTheme="minorHAnsi" w:cstheme="minorHAnsi"/>
          <w:iCs/>
          <w:shd w:val="clear" w:color="auto" w:fill="FFFFFF"/>
        </w:rPr>
        <w:t xml:space="preserve"> 20 straipsnio išaiškinimo,</w:t>
      </w:r>
      <w:r w:rsidRPr="0069032F">
        <w:rPr>
          <w:rFonts w:asciiTheme="minorHAnsi" w:hAnsiTheme="minorHAnsi" w:cstheme="minorHAnsi"/>
          <w:color w:val="000000"/>
        </w:rPr>
        <w:t xml:space="preserve"> n</w:t>
      </w:r>
      <w:r w:rsidRPr="0069032F">
        <w:rPr>
          <w:rFonts w:asciiTheme="minorHAnsi" w:hAnsiTheme="minorHAnsi" w:cstheme="minorHAnsi"/>
          <w:iCs/>
          <w:shd w:val="clear" w:color="auto" w:fill="FFFFFF"/>
        </w:rPr>
        <w:t>agrinėjant TS, UT ir VU, kurie yra ZY įpėdiniai, ginčą su Rumunijos Valstybine ligonių kasa ir Rumunijos Konstancos ligonių kasa dėl to, kad pastaroji atsisakė jiems atlyginti visas ZY Austrijoje suteikto medicininio gydymo išlaidas.</w:t>
      </w:r>
    </w:p>
    <w:p w14:paraId="3CA9D63B" w14:textId="77777777" w:rsidR="0081236B" w:rsidRPr="0069032F" w:rsidRDefault="0081236B" w:rsidP="0081236B">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ZY vienoje iš Rumunijos ligoninių buvo diagnozuotas liežuvio vėžys. Gydančio gydytojo siuntimu jam buvo skirtas skubus chirurginis gydymas, per kurį turėjo būti pašalinti du trečdaliai liežuvio. 2013 m. balandžio mėn. ZY atvyko į Vieną (Austrija), kur kreipėsi į privačią kliniką dėl antros medicininės nuomonės. Jam buvo patvirtinta diagnozė, tačiau chirurginė operacija nebuvo laikoma tinkama. Rekomenduotas gydymas ligoninėje taikant radioterapiją, chemoterapiją ir imunoterapiją. Šis gydymas buvo laikytas turinčiu pranašumą, nes nesukelia neįgalumo.</w:t>
      </w:r>
      <w:r w:rsidRPr="0069032F">
        <w:rPr>
          <w:rFonts w:asciiTheme="minorHAnsi" w:hAnsiTheme="minorHAnsi" w:cstheme="minorHAnsi"/>
          <w:color w:val="000000"/>
        </w:rPr>
        <w:t xml:space="preserve"> D</w:t>
      </w:r>
      <w:r w:rsidRPr="0069032F">
        <w:rPr>
          <w:rFonts w:asciiTheme="minorHAnsi" w:hAnsiTheme="minorHAnsi" w:cstheme="minorHAnsi"/>
          <w:iCs/>
          <w:shd w:val="clear" w:color="auto" w:fill="FFFFFF"/>
        </w:rPr>
        <w:t>viejose Austrijos klinikose jam buvo suteiktas medicininis gydymas, t. y. radioterapija, chemoterapija ir imunoterapija. ZY kreipėsi į kompetentingą įstaigą su prašymu kompensuoti su tuo susijusias išlaidas. Tačiau visos išlaidos jam nebuvo kompensuotos, motyvuojant tuo, kad nepateikus prašymo dėl išankstinio leidimo, išlaidos, susijusios ZY suteiktu medicininiu gydymu kitoje nei jo gyvenamosios vietos valstybėje narėje, negali būti atlygintos pagal Reglamentą Nr. 883/2004.</w:t>
      </w:r>
    </w:p>
    <w:p w14:paraId="5A8C6EF9" w14:textId="77777777" w:rsidR="0081236B" w:rsidRPr="0069032F" w:rsidRDefault="0081236B" w:rsidP="0081236B">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Prašymą priimti prejudicinį sprendimą pateikęs teismas siekė sužinoti, ar Reglamento Nr. 883/2004 20 straipsnis, siejamas su SESV 56 straipsniu, turi būti aiškinamas taip, kad apdraustas asmuo, kuris kitoje nei jo gyvenamosios vietos valstybėje narėje gavo gyvenamosios vietos valstybės narės teisės aktuose numatytas paslaugas, turi teisę į visišką šio gydymo išlaidų kompensavimą pagal šiame reglamente numatytas sąlygas, jeigu negalėjo gauti Reglamento Nr. 883/2004 20 straipsnio 1 dalyje numatyto kompetentingos įstaigos leidimo, motyvuojant tuo, kad ligos diagnozę ir būtinybę nedelsiant taikyti gydymą patvirtinęs jo gyvenamosios vietos valstybės narės sveikatos draudimo sistemai priklausantis gydytojas vis dėlto nurodė taikyti kitokį gydymą nei tas, kurį pasirinko minėtas asmuo, atsižvelgdamas į kitoje valstybėje narėje pateiktą antrą gydytojo nuomonę, nes, priešingai nei pirmasis gydymas, toks gydymas nesukelia neįgalumo.</w:t>
      </w:r>
    </w:p>
    <w:p w14:paraId="588A229E" w14:textId="77777777" w:rsidR="0081236B" w:rsidRPr="0069032F" w:rsidRDefault="0081236B" w:rsidP="0081236B">
      <w:pPr>
        <w:jc w:val="center"/>
        <w:rPr>
          <w:rFonts w:asciiTheme="minorHAnsi" w:hAnsiTheme="minorHAnsi" w:cstheme="minorHAnsi"/>
          <w:color w:val="000000"/>
          <w:shd w:val="clear" w:color="auto" w:fill="FFFFFF"/>
        </w:rPr>
      </w:pPr>
    </w:p>
    <w:p w14:paraId="465EF146" w14:textId="77777777" w:rsidR="0081236B" w:rsidRPr="0069032F" w:rsidRDefault="0081236B" w:rsidP="0081236B">
      <w:pPr>
        <w:jc w:val="center"/>
        <w:rPr>
          <w:rFonts w:asciiTheme="minorHAnsi" w:hAnsiTheme="minorHAnsi" w:cstheme="minorHAnsi"/>
          <w:b/>
          <w:bCs/>
          <w:color w:val="000000"/>
          <w:shd w:val="clear" w:color="auto" w:fill="FFFFFF"/>
        </w:rPr>
      </w:pPr>
      <w:r w:rsidRPr="0069032F">
        <w:rPr>
          <w:rFonts w:asciiTheme="minorHAnsi" w:hAnsiTheme="minorHAnsi" w:cstheme="minorHAnsi"/>
          <w:b/>
          <w:bCs/>
          <w:color w:val="000000"/>
          <w:shd w:val="clear" w:color="auto" w:fill="FFFFFF"/>
        </w:rPr>
        <w:t>Teisingumo Teismo vertinimas</w:t>
      </w:r>
    </w:p>
    <w:p w14:paraId="435AD728" w14:textId="77777777" w:rsidR="0081236B" w:rsidRPr="0069032F" w:rsidRDefault="0081236B" w:rsidP="0081236B">
      <w:pPr>
        <w:ind w:firstLine="567"/>
        <w:jc w:val="center"/>
        <w:rPr>
          <w:rFonts w:asciiTheme="minorHAnsi" w:hAnsiTheme="minorHAnsi" w:cstheme="minorHAnsi"/>
          <w:b/>
          <w:bCs/>
          <w:color w:val="000000"/>
          <w:shd w:val="clear" w:color="auto" w:fill="FFFFFF"/>
        </w:rPr>
      </w:pPr>
    </w:p>
    <w:p w14:paraId="0EFCF360" w14:textId="77777777" w:rsidR="0081236B" w:rsidRPr="00312341" w:rsidRDefault="0081236B" w:rsidP="00312341">
      <w:pPr>
        <w:pStyle w:val="Antrat3"/>
        <w:tabs>
          <w:tab w:val="clear" w:pos="567"/>
          <w:tab w:val="left" w:pos="426"/>
        </w:tabs>
        <w:ind w:firstLine="567"/>
      </w:pPr>
      <w:bookmarkStart w:id="37" w:name="_Toc105161246"/>
      <w:r w:rsidRPr="00312341">
        <w:t>Dėl Reglamento Nr. 883/2004 20 straipsnio, siejamo su SESV 56 straipsniu, aiškinimo, kada apdraustasis asmuo turi teisę į visišką gydymo išlaidų kompensavimą pagal šiame reglamente numatytas sąlygas</w:t>
      </w:r>
      <w:bookmarkEnd w:id="37"/>
    </w:p>
    <w:p w14:paraId="19115530" w14:textId="77777777" w:rsidR="0081236B" w:rsidRPr="0069032F" w:rsidRDefault="0081236B" w:rsidP="0081236B">
      <w:pPr>
        <w:ind w:firstLine="567"/>
        <w:rPr>
          <w:rFonts w:asciiTheme="minorHAnsi" w:hAnsiTheme="minorHAnsi" w:cstheme="minorHAnsi"/>
          <w:color w:val="000000"/>
          <w:shd w:val="clear" w:color="auto" w:fill="FFFFFF"/>
        </w:rPr>
      </w:pPr>
    </w:p>
    <w:p w14:paraId="48FDC577" w14:textId="77777777" w:rsidR="0081236B" w:rsidRPr="0069032F" w:rsidRDefault="0081236B" w:rsidP="0081236B">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Teisingumo Teismas padarė išvadą, kad pagal Reglamento Nr. 883/2004 20 straipsnį, siejamą su Reglamento Nr. 987/2009 26 straipsnio 4 dalimi, nereikalaujama, kad medicininė išvada, kuria grindžiamas prašymas išduoti išankstinį leidimą gydytis kitoje valstybėje narėje nei ta, kurioje nuolat gyvena apdraustas asmuo, būtų pateikta gydytojo, priklausančio šio asmens gyvenamosios vietos valstybės narės valstybinio sveikatos draudimo sistemai, ir kartu neužkertamas kelias tam, kad per leidimo išdavimo procedūrą būtų atsižvelgta į antrą nuomonę, pateiktą gydytojo toje valstybėje narėje, į kurią minėtas asmuo planuoja vykti, kad ten gautų šį gydymą.</w:t>
      </w:r>
    </w:p>
    <w:p w14:paraId="4A8D3475" w14:textId="77777777" w:rsidR="0081236B" w:rsidRPr="0069032F" w:rsidRDefault="0081236B" w:rsidP="0081236B">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Taigi nacionalinės teisės aktuose, pagal kuriuos reikalaujama, kad prie prašymo išduoti leidimą gydytis ne gyvenamosios vietos valstybėje narėje būtų pateikta nacionalinei sveikatos draudimo sistemai priklausančio gydytojo parengta medicininė išvada, kurioje patvirtinta ligos diagnozė bei skirtas jos gydymas, nustatoma sąlyga, kurios nėra tarp numatytųjų Reglamento Nr. 883/2004 20 straipsnyje.</w:t>
      </w:r>
    </w:p>
    <w:p w14:paraId="26223842" w14:textId="77777777" w:rsidR="0081236B" w:rsidRPr="0069032F" w:rsidRDefault="0081236B" w:rsidP="0081236B">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Pažymėta, kad Reglamento Nr. 883/2004 20 straipsnio 2 dalis, siejama su SESV 56 straipsniu, turi būti aiškinama taip, kad pagal ją draudžiami nacionalinės teisės aktai, pagal kuriuos leidimo gydytis kitoje nei pareiškėjo gyvenamosios vietos valstybėje narėje išdavimas priklauso nuo valstybinei sveikatos draudimo sistemai priklausančio gydytojo parengtos medicininės ataskaitos, kurioje nustatoma ligos diagnozė ir skiriamas jos gydymas, ir pagal kuriuos neužtikrinama, kad kompetentinga įstaiga atsižvelgs į antrą kitoje valstybėje narėje pateiktą medicininę nuomonę, kurioje skiriamas alternatyvus gydymas.</w:t>
      </w:r>
    </w:p>
    <w:p w14:paraId="09D507F5" w14:textId="77777777" w:rsidR="0081236B" w:rsidRPr="0069032F" w:rsidRDefault="0081236B" w:rsidP="0081236B">
      <w:pPr>
        <w:ind w:firstLine="567"/>
        <w:rPr>
          <w:rFonts w:asciiTheme="minorHAnsi" w:hAnsiTheme="minorHAnsi" w:cstheme="minorHAnsi"/>
          <w:color w:val="000000"/>
          <w:u w:val="single"/>
          <w:shd w:val="clear" w:color="auto" w:fill="FFFFFF"/>
        </w:rPr>
      </w:pPr>
      <w:r w:rsidRPr="0069032F">
        <w:rPr>
          <w:rFonts w:asciiTheme="minorHAnsi" w:hAnsiTheme="minorHAnsi" w:cstheme="minorHAnsi"/>
          <w:color w:val="000000"/>
          <w:shd w:val="clear" w:color="auto" w:fill="FFFFFF"/>
        </w:rPr>
        <w:t xml:space="preserve">Todėl Teismas išaiškino, kad </w:t>
      </w:r>
      <w:r w:rsidRPr="0069032F">
        <w:rPr>
          <w:rFonts w:asciiTheme="minorHAnsi" w:hAnsiTheme="minorHAnsi" w:cstheme="minorHAnsi"/>
          <w:color w:val="000000"/>
          <w:u w:val="single"/>
          <w:shd w:val="clear" w:color="auto" w:fill="FFFFFF"/>
        </w:rPr>
        <w:t>Reglamento Nr. 883/2004 20 straipsnis, siejamas su SESV 56 straipsniu, turi būti aiškinamas taip, kad apdraustas asmuo, kuris kitoje nei jo gyvenamosios vietos valstybėje narėje gavo gydymą, įtrauktą į jo gyvenamosios vietos valstybės narės teisės aktuose numatytas paslaugas, turi teisę į visišką šio gydymo išlaidų kompensavimą pagal šiame reglamente numatytas sąlygas, jeigu negalėjo gauti kompetentingos įstaigos leidimo pagal minėto reglamento 20 straipsnio 1 dalį, motyvuojant tuo, kad ligos diagnozę ir būtinybę nedelsiant taikyti gydymą patvirtinęs jo gyvenamosios vietos valstybės narės sveikatos draudimo sistemai priklausantis gydytojas vis dėlto paskyrė kitokį gydymą nei tas, kurį pasirinko minėtas asmuo, atsižvelgdamas į kitoje valstybėje narėje pateiktą antrą medicininę nuomonę, nes, priešingai nei pirmasis gydymas, toks gydymas nesukelia neįgalumo.</w:t>
      </w:r>
    </w:p>
    <w:p w14:paraId="4C9EFC86" w14:textId="77777777" w:rsidR="0081236B" w:rsidRPr="0069032F" w:rsidRDefault="004D029A" w:rsidP="0081236B">
      <w:pPr>
        <w:ind w:firstLine="567"/>
        <w:rPr>
          <w:rFonts w:asciiTheme="minorHAnsi" w:hAnsiTheme="minorHAnsi" w:cstheme="minorHAnsi"/>
          <w:color w:val="0000FF"/>
          <w:u w:val="single"/>
        </w:rPr>
      </w:pPr>
      <w:hyperlink r:id="rId20" w:history="1">
        <w:r w:rsidR="0081236B" w:rsidRPr="0069032F">
          <w:rPr>
            <w:rStyle w:val="Hipersaitas"/>
            <w:rFonts w:asciiTheme="minorHAnsi" w:hAnsiTheme="minorHAnsi" w:cstheme="minorHAnsi"/>
          </w:rPr>
          <w:t>Prieiga internete</w:t>
        </w:r>
      </w:hyperlink>
    </w:p>
    <w:p w14:paraId="0A4A7534" w14:textId="77777777" w:rsidR="0081236B" w:rsidRPr="0069032F" w:rsidRDefault="0081236B" w:rsidP="0081236B">
      <w:pPr>
        <w:rPr>
          <w:rFonts w:asciiTheme="minorHAnsi" w:hAnsiTheme="minorHAnsi" w:cstheme="minorHAnsi"/>
        </w:rPr>
      </w:pPr>
    </w:p>
    <w:p w14:paraId="763123E1" w14:textId="7C801A7E" w:rsidR="0038629E" w:rsidRPr="00312341" w:rsidRDefault="0038629E" w:rsidP="00312341">
      <w:pPr>
        <w:pStyle w:val="Antrat1"/>
      </w:pPr>
      <w:bookmarkStart w:id="38" w:name="_Toc105161247"/>
      <w:r w:rsidRPr="0069032F">
        <w:t>D</w:t>
      </w:r>
      <w:r w:rsidR="00312341">
        <w:t>ARBUOTOJŲ SAUGA</w:t>
      </w:r>
      <w:bookmarkEnd w:id="38"/>
    </w:p>
    <w:p w14:paraId="563A6D38" w14:textId="77777777" w:rsidR="0038629E" w:rsidRPr="0069032F" w:rsidRDefault="0038629E" w:rsidP="0038629E">
      <w:pPr>
        <w:pStyle w:val="Betarp"/>
        <w:jc w:val="center"/>
        <w:rPr>
          <w:rFonts w:asciiTheme="minorHAnsi" w:hAnsiTheme="minorHAnsi" w:cstheme="minorHAnsi"/>
          <w:b/>
          <w:bCs/>
          <w:color w:val="002060"/>
          <w:sz w:val="22"/>
          <w:lang w:val="lt-LT"/>
        </w:rPr>
      </w:pPr>
    </w:p>
    <w:p w14:paraId="1A7CDF47" w14:textId="1B9BF8B0" w:rsidR="0038629E" w:rsidRPr="0069032F" w:rsidRDefault="0038629E" w:rsidP="00312341">
      <w:pPr>
        <w:pStyle w:val="Antrat1"/>
      </w:pPr>
      <w:bookmarkStart w:id="39" w:name="_Toc105161248"/>
      <w:r w:rsidRPr="0069032F">
        <w:t xml:space="preserve">2021 m. lapkričio 11 d. sprendimas byloje </w:t>
      </w:r>
      <w:r w:rsidRPr="0069032F">
        <w:rPr>
          <w:i/>
        </w:rPr>
        <w:t>Dublin City Council</w:t>
      </w:r>
      <w:r w:rsidR="00312341">
        <w:t xml:space="preserve">, </w:t>
      </w:r>
      <w:r w:rsidRPr="0069032F">
        <w:t>C-214/2020</w:t>
      </w:r>
      <w:bookmarkEnd w:id="39"/>
    </w:p>
    <w:p w14:paraId="438E69C7" w14:textId="77777777" w:rsidR="0038629E" w:rsidRPr="0069032F" w:rsidRDefault="0038629E" w:rsidP="0038629E">
      <w:pPr>
        <w:pStyle w:val="Betarp"/>
        <w:jc w:val="center"/>
        <w:rPr>
          <w:rFonts w:asciiTheme="minorHAnsi" w:hAnsiTheme="minorHAnsi" w:cstheme="minorHAnsi"/>
          <w:b/>
          <w:bCs/>
          <w:sz w:val="22"/>
          <w:lang w:val="lt-LT"/>
        </w:rPr>
      </w:pPr>
    </w:p>
    <w:p w14:paraId="497CDFF8" w14:textId="77777777" w:rsidR="0038629E" w:rsidRPr="0069032F" w:rsidRDefault="0038629E" w:rsidP="0038629E">
      <w:pPr>
        <w:pStyle w:val="Betarp"/>
        <w:ind w:firstLine="567"/>
        <w:jc w:val="both"/>
        <w:rPr>
          <w:rFonts w:asciiTheme="minorHAnsi" w:hAnsiTheme="minorHAnsi" w:cstheme="minorHAnsi"/>
          <w:bCs/>
          <w:sz w:val="22"/>
          <w:lang w:val="lt-LT"/>
        </w:rPr>
      </w:pPr>
      <w:r w:rsidRPr="0069032F">
        <w:rPr>
          <w:rFonts w:asciiTheme="minorHAnsi" w:hAnsiTheme="minorHAnsi" w:cstheme="minorHAnsi"/>
          <w:bCs/>
          <w:sz w:val="22"/>
          <w:lang w:val="lt-LT"/>
        </w:rPr>
        <w:t>Darbuotojų sauga ir sveikatos apsauga – Darbo laiko organizavimas – Direktyva 2003/88/EB – 2 straipsnis – Sąvoka „darbo laikas“ – Neetatinis ugniagesys – Pasyviojo budėjimo laikotarpis – Vertimasis savarankiška profesine veikla budėjimo laikotarpiu – Suvaržymai, kylantys dėl pasyviojo budėjimo tvarkos</w:t>
      </w:r>
    </w:p>
    <w:p w14:paraId="56A8FD6A" w14:textId="77777777" w:rsidR="0038629E" w:rsidRPr="0069032F" w:rsidRDefault="0038629E" w:rsidP="0038629E">
      <w:pPr>
        <w:pStyle w:val="Betarp"/>
        <w:ind w:firstLine="567"/>
        <w:jc w:val="both"/>
        <w:rPr>
          <w:rFonts w:asciiTheme="minorHAnsi" w:hAnsiTheme="minorHAnsi" w:cstheme="minorHAnsi"/>
          <w:bCs/>
          <w:sz w:val="22"/>
          <w:lang w:val="lt-LT"/>
        </w:rPr>
      </w:pPr>
    </w:p>
    <w:p w14:paraId="2C0EC0EC" w14:textId="77777777" w:rsidR="0038629E" w:rsidRPr="0069032F" w:rsidRDefault="0038629E" w:rsidP="0038629E">
      <w:pPr>
        <w:pStyle w:val="Betarp"/>
        <w:jc w:val="center"/>
        <w:rPr>
          <w:rFonts w:asciiTheme="minorHAnsi" w:hAnsiTheme="minorHAnsi" w:cstheme="minorHAnsi"/>
          <w:b/>
          <w:sz w:val="22"/>
          <w:lang w:val="lt-LT"/>
        </w:rPr>
      </w:pPr>
      <w:r w:rsidRPr="0069032F">
        <w:rPr>
          <w:rFonts w:asciiTheme="minorHAnsi" w:hAnsiTheme="minorHAnsi" w:cstheme="minorHAnsi"/>
          <w:b/>
          <w:sz w:val="22"/>
          <w:lang w:val="lt-LT"/>
        </w:rPr>
        <w:t>Bylos aplinkybės</w:t>
      </w:r>
    </w:p>
    <w:p w14:paraId="4D0BE969" w14:textId="77777777" w:rsidR="0038629E" w:rsidRPr="0069032F" w:rsidRDefault="0038629E" w:rsidP="0038629E">
      <w:pPr>
        <w:pStyle w:val="Betarp"/>
        <w:jc w:val="center"/>
        <w:rPr>
          <w:rFonts w:asciiTheme="minorHAnsi" w:hAnsiTheme="minorHAnsi" w:cstheme="minorHAnsi"/>
          <w:bCs/>
          <w:sz w:val="22"/>
          <w:lang w:val="lt-LT"/>
        </w:rPr>
      </w:pPr>
    </w:p>
    <w:p w14:paraId="5D064C84" w14:textId="74CA4A6D" w:rsidR="0038629E" w:rsidRPr="0069032F" w:rsidRDefault="0038629E" w:rsidP="0038629E">
      <w:pPr>
        <w:pStyle w:val="Betarp"/>
        <w:ind w:firstLine="567"/>
        <w:jc w:val="both"/>
        <w:rPr>
          <w:rFonts w:asciiTheme="minorHAnsi" w:hAnsiTheme="minorHAnsi" w:cstheme="minorHAnsi"/>
          <w:bCs/>
          <w:sz w:val="22"/>
          <w:lang w:val="lt-LT"/>
        </w:rPr>
      </w:pPr>
      <w:r w:rsidRPr="0069032F">
        <w:rPr>
          <w:rFonts w:asciiTheme="minorHAnsi" w:hAnsiTheme="minorHAnsi" w:cstheme="minorHAnsi"/>
          <w:bCs/>
          <w:sz w:val="22"/>
          <w:lang w:val="lt-LT"/>
        </w:rPr>
        <w:t>Pareiškėjas pagrindinėje byloje – neetatinis ne visą darbo laiką dirbantis ugniagesys, remiantis pasyviojo budėjimo tvarka paskirtas į priešgaisrinės tarnybos ugniagesių brigadą, privalėjo dalyvauti 75</w:t>
      </w:r>
      <w:r w:rsidR="009E1656">
        <w:rPr>
          <w:rFonts w:asciiTheme="minorHAnsi" w:hAnsiTheme="minorHAnsi" w:cstheme="minorHAnsi"/>
          <w:bCs/>
          <w:sz w:val="22"/>
          <w:lang w:val="lt-LT"/>
        </w:rPr>
        <w:t> </w:t>
      </w:r>
      <w:r w:rsidRPr="0069032F">
        <w:rPr>
          <w:rFonts w:asciiTheme="minorHAnsi" w:hAnsiTheme="minorHAnsi" w:cstheme="minorHAnsi"/>
          <w:bCs/>
          <w:sz w:val="22"/>
          <w:lang w:val="lt-LT"/>
        </w:rPr>
        <w:t xml:space="preserve">proc. brigados intervencijų, nebuvo įpareigotas budėjimo laikotarpiais būti apibrėžtoje vietoje, tačiau gavęs skubų iškvietimą, privalėjo stengtis atvykti į priešgaisrinę tarnybą per 5 minutes, bet </w:t>
      </w:r>
      <w:r w:rsidR="00564A3B">
        <w:rPr>
          <w:rFonts w:asciiTheme="minorHAnsi" w:hAnsiTheme="minorHAnsi" w:cstheme="minorHAnsi"/>
          <w:bCs/>
          <w:sz w:val="22"/>
          <w:lang w:val="lt-LT"/>
        </w:rPr>
        <w:t xml:space="preserve">ne </w:t>
      </w:r>
      <w:r w:rsidRPr="0069032F">
        <w:rPr>
          <w:rFonts w:asciiTheme="minorHAnsi" w:hAnsiTheme="minorHAnsi" w:cstheme="minorHAnsi"/>
          <w:bCs/>
          <w:sz w:val="22"/>
          <w:lang w:val="lt-LT"/>
        </w:rPr>
        <w:t xml:space="preserve">vėliau kaip per 10 minučių. Pareiškėjas pagrindinėje byloje kas mėnesį gavo bazinį darbo užmokestį, kaip atlygį už pasyvųjį budėjimo laikotarpį, taip pat priemoką už kiekvieną intervenciją. Jam buvo leidžiama užsiimti savarankiška profesine veikla arba dirbti kitam darbdaviui, jeigu ši veikla neviršija vidutiniškai 48 val. per </w:t>
      </w:r>
      <w:r w:rsidRPr="0069032F">
        <w:rPr>
          <w:rFonts w:asciiTheme="minorHAnsi" w:hAnsiTheme="minorHAnsi" w:cstheme="minorHAnsi"/>
          <w:bCs/>
          <w:sz w:val="22"/>
          <w:lang w:val="lt-LT"/>
        </w:rPr>
        <w:lastRenderedPageBreak/>
        <w:t>savaitę. Manydamas, kad budėjimo valandos turi būti laikomos „darbo laiku“, kaip tai suprantama pagal Direktyvą 2003/88</w:t>
      </w:r>
      <w:r w:rsidRPr="0069032F">
        <w:rPr>
          <w:rStyle w:val="Puslapioinaosnuoroda"/>
          <w:rFonts w:asciiTheme="minorHAnsi" w:hAnsiTheme="minorHAnsi" w:cstheme="minorHAnsi"/>
          <w:bCs/>
          <w:sz w:val="22"/>
          <w:lang w:val="lt-LT"/>
        </w:rPr>
        <w:footnoteReference w:id="13"/>
      </w:r>
      <w:r w:rsidRPr="0069032F">
        <w:rPr>
          <w:rFonts w:asciiTheme="minorHAnsi" w:hAnsiTheme="minorHAnsi" w:cstheme="minorHAnsi"/>
          <w:bCs/>
          <w:sz w:val="22"/>
          <w:lang w:val="lt-LT"/>
        </w:rPr>
        <w:t xml:space="preserve">, pareiškėjas pagrindinėje byloje dėl to pateikė ieškinį Airijos Darbo bylų teismui. </w:t>
      </w:r>
    </w:p>
    <w:p w14:paraId="55B248F5" w14:textId="77777777" w:rsidR="0038629E" w:rsidRPr="0069032F" w:rsidRDefault="0038629E" w:rsidP="0038629E">
      <w:pPr>
        <w:pStyle w:val="Betarp"/>
        <w:ind w:firstLine="567"/>
        <w:jc w:val="both"/>
        <w:rPr>
          <w:rFonts w:asciiTheme="minorHAnsi" w:hAnsiTheme="minorHAnsi" w:cstheme="minorHAnsi"/>
          <w:bCs/>
          <w:sz w:val="22"/>
          <w:lang w:val="lt-LT"/>
        </w:rPr>
      </w:pPr>
      <w:r w:rsidRPr="0069032F">
        <w:rPr>
          <w:rFonts w:asciiTheme="minorHAnsi" w:hAnsiTheme="minorHAnsi" w:cstheme="minorHAnsi"/>
          <w:bCs/>
          <w:sz w:val="22"/>
          <w:lang w:val="lt-LT"/>
        </w:rPr>
        <w:t>Airijos Darbo bylų teismas kreipėsi į ESTT teiraudamasis, ar: 1) Direktyvos 2003/88 2 straipsnį reikia aiškinti taip, kad tuo atveju, kai darbuotojas budi pasirinktoje vietoje arba vietose ir jam niekada netaikomas reikalavimas „budėjimo“ laikotarpiu pranešti darbdaviui apie savo buvimo vietą, o tik reikalaujama, kad galėtų sureaguoti į „iškvietimą“ per pageidaujamą 5 minučių atvykimo terminą ir ne ilgesnį kaip 10 minučių atvykimo terminą, tokio darbuotojo budėjimo laikas yra darbo laikas; 2) jeigu atsakymas į pirmąjį klausimą būtų teigiamas, ar darbuotojo, kuriam netaikomi jokie apribojimai, išskyrus reikalavimą reaguoti į iškvietimą per pageidaujamą 5 minučių atvykimo terminą ir ne ilgesnį kaip 10 minučių atvykimo terminą, ir kuris „budėjimo“ laikotarpiu gali be apribojimų tuo pat metu dirbti kitam darbdaviui arba savarankiškai užsiimti profesine veikla, budėjimo laiką galima laikyti „darbo laiku“ pas darbdavį, kuriam jis „budi“.</w:t>
      </w:r>
    </w:p>
    <w:p w14:paraId="33A5B326" w14:textId="77777777" w:rsidR="0038629E" w:rsidRPr="0069032F" w:rsidRDefault="0038629E" w:rsidP="0038629E">
      <w:pPr>
        <w:pStyle w:val="Betarp"/>
        <w:ind w:firstLine="567"/>
        <w:jc w:val="both"/>
        <w:rPr>
          <w:rFonts w:asciiTheme="minorHAnsi" w:hAnsiTheme="minorHAnsi" w:cstheme="minorHAnsi"/>
          <w:bCs/>
          <w:sz w:val="22"/>
          <w:lang w:val="lt-LT"/>
        </w:rPr>
      </w:pPr>
    </w:p>
    <w:p w14:paraId="76D691F7" w14:textId="77777777" w:rsidR="0038629E" w:rsidRPr="0069032F" w:rsidRDefault="0038629E" w:rsidP="0038629E">
      <w:pPr>
        <w:pStyle w:val="Betarp"/>
        <w:jc w:val="center"/>
        <w:rPr>
          <w:rFonts w:asciiTheme="minorHAnsi" w:hAnsiTheme="minorHAnsi" w:cstheme="minorHAnsi"/>
          <w:sz w:val="22"/>
          <w:lang w:val="lt-LT"/>
        </w:rPr>
      </w:pPr>
      <w:r w:rsidRPr="0069032F">
        <w:rPr>
          <w:rFonts w:asciiTheme="minorHAnsi" w:hAnsiTheme="minorHAnsi" w:cstheme="minorHAnsi"/>
          <w:b/>
          <w:sz w:val="22"/>
          <w:lang w:val="lt-LT"/>
        </w:rPr>
        <w:t>Teisingumo Teismo vertinimas</w:t>
      </w:r>
    </w:p>
    <w:p w14:paraId="20AAB6C8" w14:textId="77777777" w:rsidR="0038629E" w:rsidRPr="0069032F" w:rsidRDefault="0038629E" w:rsidP="0038629E">
      <w:pPr>
        <w:pStyle w:val="Betarp"/>
        <w:jc w:val="both"/>
        <w:rPr>
          <w:rFonts w:asciiTheme="minorHAnsi" w:hAnsiTheme="minorHAnsi" w:cstheme="minorHAnsi"/>
          <w:sz w:val="22"/>
          <w:lang w:val="lt-LT"/>
        </w:rPr>
      </w:pPr>
    </w:p>
    <w:p w14:paraId="5032C87C" w14:textId="77777777" w:rsidR="0038629E" w:rsidRPr="00312341" w:rsidRDefault="0038629E" w:rsidP="00312341">
      <w:pPr>
        <w:pStyle w:val="Antrat3"/>
        <w:tabs>
          <w:tab w:val="clear" w:pos="567"/>
          <w:tab w:val="left" w:pos="426"/>
        </w:tabs>
        <w:ind w:firstLine="567"/>
      </w:pPr>
      <w:bookmarkStart w:id="40" w:name="_Toc105161249"/>
      <w:r w:rsidRPr="00312341">
        <w:t>Dėl pasyvaus budėjimo laiko pripažinimo darbo laiku</w:t>
      </w:r>
      <w:bookmarkEnd w:id="40"/>
    </w:p>
    <w:p w14:paraId="47420EDE" w14:textId="77777777" w:rsidR="0038629E" w:rsidRPr="0069032F" w:rsidRDefault="0038629E" w:rsidP="0038629E">
      <w:pPr>
        <w:pStyle w:val="Betarp"/>
        <w:jc w:val="both"/>
        <w:rPr>
          <w:rFonts w:asciiTheme="minorHAnsi" w:hAnsiTheme="minorHAnsi" w:cstheme="minorHAnsi"/>
          <w:bCs/>
          <w:sz w:val="22"/>
          <w:lang w:val="lt-LT"/>
        </w:rPr>
      </w:pPr>
    </w:p>
    <w:p w14:paraId="4C4141F9" w14:textId="77777777" w:rsidR="0038629E" w:rsidRPr="0069032F" w:rsidRDefault="0038629E" w:rsidP="0038629E">
      <w:pPr>
        <w:pStyle w:val="Betarp"/>
        <w:ind w:firstLine="567"/>
        <w:jc w:val="both"/>
        <w:rPr>
          <w:rFonts w:asciiTheme="minorHAnsi" w:hAnsiTheme="minorHAnsi" w:cstheme="minorHAnsi"/>
          <w:bCs/>
          <w:sz w:val="22"/>
          <w:lang w:val="lt-LT"/>
        </w:rPr>
      </w:pPr>
      <w:r w:rsidRPr="0069032F">
        <w:rPr>
          <w:rFonts w:asciiTheme="minorHAnsi" w:hAnsiTheme="minorHAnsi" w:cstheme="minorHAnsi"/>
          <w:bCs/>
          <w:sz w:val="22"/>
          <w:lang w:val="lt-LT"/>
        </w:rPr>
        <w:t xml:space="preserve">Teisingumo Teismas pažymėjo, jog sąvoka </w:t>
      </w:r>
      <w:r w:rsidRPr="0069032F">
        <w:rPr>
          <w:rFonts w:asciiTheme="minorHAnsi" w:hAnsiTheme="minorHAnsi" w:cstheme="minorHAnsi"/>
          <w:bCs/>
          <w:sz w:val="22"/>
          <w:u w:val="single"/>
          <w:lang w:val="lt-LT"/>
        </w:rPr>
        <w:t>„darbo laikas“, kaip ji suprantama pagal Direktyvą 2003/88, apima visus budėjimo (įskaitant pasyvųjį budėjimą) laikotarpius, kai darbuotojui nustatyti apribojimai yra tokie, kad objektyviai ir labai stipriai apribojama jo galimybė šiais laikotarpiais savo nuožiūra valdyti laiką, kuriuo nereikalaujama vykdyti profesinių funkcijų, ir skirti šį laiką savo interesams. Kai darbuotojui nustatyti suvaržymai tam tikru budėjimo laikotarpiu nėra tokie dideli ir jis gali valdyti savo laiką ir skirti jį savo interesams be didelių suvaržymų, „darbo laikas“ pagal Direktyvą 2003/88 yra laikas, skirtas darbui, kuris, atsižvelgiant į aplinkybes, yra faktiškai atliktas tuo laikotarpiu</w:t>
      </w:r>
      <w:r w:rsidRPr="0069032F">
        <w:rPr>
          <w:rFonts w:asciiTheme="minorHAnsi" w:hAnsiTheme="minorHAnsi" w:cstheme="minorHAnsi"/>
          <w:bCs/>
          <w:sz w:val="22"/>
          <w:lang w:val="lt-LT"/>
        </w:rPr>
        <w:t xml:space="preserve">. Siekiant įvertinti, ar dėl pasyvaus budėjimo objektyviai kyla didelių suvaržymų, turinčių didelį poveikį atitinkamam darbuotojo laikui, kuriuo nereikalaujama vykdyti profesinių funkcijų, valdyti, </w:t>
      </w:r>
      <w:r w:rsidRPr="0069032F">
        <w:rPr>
          <w:rFonts w:asciiTheme="minorHAnsi" w:hAnsiTheme="minorHAnsi" w:cstheme="minorHAnsi"/>
          <w:bCs/>
          <w:sz w:val="22"/>
          <w:u w:val="single"/>
          <w:lang w:val="lt-LT"/>
        </w:rPr>
        <w:t>reikia atsižvelgti į darbuotojui budėjimo laikotarpiu nustatytą terminą vėl imtis darbo pas darbdavį, kuriam jis teikia šias budėjimo paslaugas, nuo to momento, kai darbdavys to paprašo, taip pat prireikus į tai, kiek vidutiniškai kartų jis turės faktiškai dalyvauti intervencijose per šį laikotarpį</w:t>
      </w:r>
      <w:r w:rsidRPr="0069032F">
        <w:rPr>
          <w:rFonts w:asciiTheme="minorHAnsi" w:hAnsiTheme="minorHAnsi" w:cstheme="minorHAnsi"/>
          <w:bCs/>
          <w:sz w:val="22"/>
          <w:lang w:val="lt-LT"/>
        </w:rPr>
        <w:t>. Kai budėjimo laikotarpiu šis terminas trunka tik kelias minutes, iš principo visą šį laikotarpį reikia laikyti „darbo laiku“. Vadinasi, tokio reagavimo laiko poveikis turi būti konkrečiai įvertintas, prireikus atsižvelgiant į kitus darbuotojui taikomus suvaržymus, taip pat į budėjimo laikotarpiu darbuotojui sudarytas sąlygas.</w:t>
      </w:r>
    </w:p>
    <w:p w14:paraId="7E8CD9CD" w14:textId="77777777" w:rsidR="0038629E" w:rsidRPr="0069032F" w:rsidRDefault="0038629E" w:rsidP="0038629E">
      <w:pPr>
        <w:pStyle w:val="Betarp"/>
        <w:ind w:firstLine="567"/>
        <w:jc w:val="both"/>
        <w:rPr>
          <w:rFonts w:asciiTheme="minorHAnsi" w:hAnsiTheme="minorHAnsi" w:cstheme="minorHAnsi"/>
          <w:bCs/>
          <w:sz w:val="22"/>
          <w:lang w:val="lt-LT"/>
        </w:rPr>
      </w:pPr>
      <w:r w:rsidRPr="0069032F">
        <w:rPr>
          <w:rFonts w:asciiTheme="minorHAnsi" w:hAnsiTheme="minorHAnsi" w:cstheme="minorHAnsi"/>
          <w:bCs/>
          <w:sz w:val="22"/>
          <w:lang w:val="lt-LT"/>
        </w:rPr>
        <w:t xml:space="preserve">ESTT vertinimu, aplinkybės, kad pareiškėjas pagrindinėje byloje pasyviojo budėjimo laikotarpiais niekuomet neturėjo būti apibrėžtoje vietoje, neprivalėjo dalyvauti visose priešgaisrinės tarnybos vykdomose intervencijose, o ketvirtadalis šių intervencijų galėjo būti vykdomos be jo, ir kad jis galėjo užsiimti kita profesine veikla, neviršijančia vidutiniškai 48 val. per savaitę, gali būti laikomos objektyviomis aplinkybėmis, leidžiančiomis daryti išvadą, kad jis, vadovaudamasis savo interesais, galėjo per šiuos laikotarpius užsiimti kita profesine veikla ir jai skirti didelę laiko dalį, jeigu vidutinis skubių iškvietimų dažnumas ir vidutinė intervencijų trukmė nekliudė veiksmingai užsiimti profesine veikla, kuri galėjo būti derinama su neetatinio ugniagesio darbu, bet tai turi įvertinti prašymą priimti prejudicinį sprendimą pateikęs teismas. </w:t>
      </w:r>
      <w:r w:rsidRPr="0069032F">
        <w:rPr>
          <w:rFonts w:asciiTheme="minorHAnsi" w:hAnsiTheme="minorHAnsi" w:cstheme="minorHAnsi"/>
          <w:bCs/>
          <w:sz w:val="22"/>
          <w:u w:val="single"/>
          <w:lang w:val="lt-LT"/>
        </w:rPr>
        <w:t>Į organizacinius sunkumus, kurių gali kilti dėl atitinkamo darbuotojo sprendimų, pavyzdžiui, pasirenkant gyvenamąją vietą ar kitą profesinę veiklą, kuri būtų daugiau ar mažiau nutolusi nuo vietos, į kurią jis, dirbdamas neetatiniu ugniagesiu, turi galėti atvykti per nustatytą laiką, negali būti atsižvelgiama</w:t>
      </w:r>
      <w:r w:rsidRPr="0069032F">
        <w:rPr>
          <w:rFonts w:asciiTheme="minorHAnsi" w:hAnsiTheme="minorHAnsi" w:cstheme="minorHAnsi"/>
          <w:bCs/>
          <w:sz w:val="22"/>
          <w:lang w:val="lt-LT"/>
        </w:rPr>
        <w:t xml:space="preserve">. </w:t>
      </w:r>
    </w:p>
    <w:p w14:paraId="7C8C8056" w14:textId="77777777" w:rsidR="0038629E" w:rsidRPr="0069032F" w:rsidRDefault="0038629E" w:rsidP="0038629E">
      <w:pPr>
        <w:pStyle w:val="Betarp"/>
        <w:ind w:firstLine="567"/>
        <w:jc w:val="both"/>
        <w:rPr>
          <w:rFonts w:asciiTheme="minorHAnsi" w:hAnsiTheme="minorHAnsi" w:cstheme="minorHAnsi"/>
          <w:bCs/>
          <w:sz w:val="22"/>
          <w:lang w:val="lt-LT"/>
        </w:rPr>
      </w:pPr>
      <w:r w:rsidRPr="0069032F">
        <w:rPr>
          <w:rFonts w:asciiTheme="minorHAnsi" w:hAnsiTheme="minorHAnsi" w:cstheme="minorHAnsi"/>
          <w:bCs/>
          <w:sz w:val="22"/>
          <w:lang w:val="lt-LT"/>
        </w:rPr>
        <w:t xml:space="preserve">ESTT konstatavo, kad jeigu atsižvelgiant į visas pagrindinėje byloje reikšmingas aplinkybes paaiškėtų, kad minėti budėjimo laikotarpiai neatitinka sąlygų, kad būtų laikomi „darbo laiku“, tai reikštų, kad tie patys laikotarpiai, išskyrus laiką, susijusį su faktiškai atliktu darbu, turėtų būti laikomi „poilsio laiku“. Tačiau ESTT pabrėžė, jog </w:t>
      </w:r>
      <w:r w:rsidRPr="0069032F">
        <w:rPr>
          <w:rFonts w:asciiTheme="minorHAnsi" w:hAnsiTheme="minorHAnsi" w:cstheme="minorHAnsi"/>
          <w:bCs/>
          <w:sz w:val="22"/>
          <w:u w:val="single"/>
          <w:lang w:val="lt-LT"/>
        </w:rPr>
        <w:t>budėjimo laikotarpio pripažinimas „poilsio laiku“ neturi įtakos darbdavių pareigai laikytis jiems pagal Direktyvos 89/391 5 ir 6 straipsnius tenkančių konkrečių pareigų, kad būtų užtikrinta jų darbuotojų sauga ir sveikatos apsauga</w:t>
      </w:r>
      <w:r w:rsidRPr="0069032F">
        <w:rPr>
          <w:rFonts w:asciiTheme="minorHAnsi" w:hAnsiTheme="minorHAnsi" w:cstheme="minorHAnsi"/>
          <w:bCs/>
          <w:sz w:val="22"/>
          <w:lang w:val="lt-LT"/>
        </w:rPr>
        <w:t xml:space="preserve">. Vadinasi, </w:t>
      </w:r>
      <w:r w:rsidRPr="0069032F">
        <w:rPr>
          <w:rFonts w:asciiTheme="minorHAnsi" w:hAnsiTheme="minorHAnsi" w:cstheme="minorHAnsi"/>
          <w:bCs/>
          <w:sz w:val="22"/>
          <w:u w:val="single"/>
          <w:lang w:val="lt-LT"/>
        </w:rPr>
        <w:t xml:space="preserve">darbdaviai negali nustatyti tokių ilgų ar </w:t>
      </w:r>
      <w:r w:rsidRPr="0069032F">
        <w:rPr>
          <w:rFonts w:asciiTheme="minorHAnsi" w:hAnsiTheme="minorHAnsi" w:cstheme="minorHAnsi"/>
          <w:bCs/>
          <w:sz w:val="22"/>
          <w:u w:val="single"/>
          <w:lang w:val="lt-LT"/>
        </w:rPr>
        <w:lastRenderedPageBreak/>
        <w:t>dažnų budėjimo laikotarpių, kurie keltų pavojų jų saugai ir sveikatai</w:t>
      </w:r>
      <w:r w:rsidRPr="0069032F">
        <w:rPr>
          <w:rFonts w:asciiTheme="minorHAnsi" w:hAnsiTheme="minorHAnsi" w:cstheme="minorHAnsi"/>
          <w:bCs/>
          <w:sz w:val="22"/>
          <w:lang w:val="lt-LT"/>
        </w:rPr>
        <w:t xml:space="preserve">, nesvarbu, kad šie laikotarpiai laikomi „poilsio laiku“. </w:t>
      </w:r>
    </w:p>
    <w:p w14:paraId="35244E9E" w14:textId="77777777" w:rsidR="0038629E" w:rsidRPr="0069032F" w:rsidRDefault="004D029A" w:rsidP="0038629E">
      <w:pPr>
        <w:pStyle w:val="Betarp"/>
        <w:ind w:firstLine="567"/>
        <w:jc w:val="both"/>
        <w:rPr>
          <w:rFonts w:asciiTheme="minorHAnsi" w:hAnsiTheme="minorHAnsi" w:cstheme="minorHAnsi"/>
          <w:bCs/>
          <w:sz w:val="22"/>
          <w:lang w:val="lt-LT"/>
        </w:rPr>
      </w:pPr>
      <w:hyperlink r:id="rId21" w:history="1">
        <w:r w:rsidR="0038629E" w:rsidRPr="0069032F">
          <w:rPr>
            <w:rStyle w:val="Hipersaitas"/>
            <w:rFonts w:asciiTheme="minorHAnsi" w:hAnsiTheme="minorHAnsi" w:cstheme="minorHAnsi"/>
            <w:bCs/>
            <w:sz w:val="22"/>
            <w:lang w:val="lt-LT"/>
          </w:rPr>
          <w:t>Prieiga internete</w:t>
        </w:r>
      </w:hyperlink>
    </w:p>
    <w:p w14:paraId="64E5CADB" w14:textId="77777777" w:rsidR="0081236B" w:rsidRPr="0069032F" w:rsidRDefault="0081236B" w:rsidP="00C8171C">
      <w:pPr>
        <w:ind w:firstLine="567"/>
        <w:jc w:val="center"/>
        <w:rPr>
          <w:rFonts w:asciiTheme="minorHAnsi" w:hAnsiTheme="minorHAnsi" w:cstheme="minorHAnsi"/>
          <w:b/>
          <w:bCs/>
          <w:color w:val="002060"/>
        </w:rPr>
      </w:pPr>
    </w:p>
    <w:p w14:paraId="40FA2E65" w14:textId="77777777" w:rsidR="00154763" w:rsidRPr="0069032F" w:rsidRDefault="00154763" w:rsidP="00312341">
      <w:pPr>
        <w:pStyle w:val="Antrat1"/>
      </w:pPr>
      <w:bookmarkStart w:id="41" w:name="_Toc105161250"/>
      <w:r w:rsidRPr="00312341">
        <w:t>TELEKOMUNIKACIJOS</w:t>
      </w:r>
      <w:bookmarkEnd w:id="41"/>
    </w:p>
    <w:p w14:paraId="58D29FA6" w14:textId="77777777" w:rsidR="00154763" w:rsidRPr="0069032F" w:rsidRDefault="00154763" w:rsidP="00154763">
      <w:pPr>
        <w:tabs>
          <w:tab w:val="left" w:pos="6379"/>
        </w:tabs>
        <w:ind w:firstLine="567"/>
        <w:jc w:val="center"/>
        <w:rPr>
          <w:rFonts w:asciiTheme="minorHAnsi" w:hAnsiTheme="minorHAnsi" w:cstheme="minorHAnsi"/>
        </w:rPr>
      </w:pPr>
    </w:p>
    <w:p w14:paraId="23437DAC" w14:textId="45BE0BB5" w:rsidR="00154763" w:rsidRPr="005A16AD" w:rsidRDefault="00154763" w:rsidP="005A16AD">
      <w:pPr>
        <w:pStyle w:val="Antrat1"/>
        <w:rPr>
          <w:i/>
          <w:iCs/>
        </w:rPr>
      </w:pPr>
      <w:bookmarkStart w:id="42" w:name="_Toc105161251"/>
      <w:bookmarkStart w:id="43" w:name="_Hlk103871333"/>
      <w:r w:rsidRPr="0069032F">
        <w:t xml:space="preserve">2021 m. lapkričio 25 d. sprendimas </w:t>
      </w:r>
      <w:r w:rsidRPr="005A16AD">
        <w:t>byloje</w:t>
      </w:r>
      <w:r w:rsidRPr="0069032F">
        <w:t xml:space="preserve"> </w:t>
      </w:r>
      <w:r w:rsidRPr="0069032F">
        <w:rPr>
          <w:i/>
          <w:iCs/>
        </w:rPr>
        <w:t>StWL Städtische Werke Lauf a.d. Pegnitz GmbH</w:t>
      </w:r>
      <w:r w:rsidR="005A16AD">
        <w:rPr>
          <w:i/>
          <w:iCs/>
        </w:rPr>
        <w:t xml:space="preserve">, </w:t>
      </w:r>
      <w:r w:rsidRPr="00906B10">
        <w:t>C</w:t>
      </w:r>
      <w:r w:rsidRPr="00906B10">
        <w:noBreakHyphen/>
      </w:r>
      <w:r w:rsidRPr="0069032F">
        <w:t>102/20</w:t>
      </w:r>
      <w:bookmarkEnd w:id="42"/>
    </w:p>
    <w:p w14:paraId="6F38E535" w14:textId="77777777" w:rsidR="00154763" w:rsidRPr="0069032F" w:rsidRDefault="00154763" w:rsidP="00154763">
      <w:pPr>
        <w:tabs>
          <w:tab w:val="left" w:pos="6379"/>
        </w:tabs>
        <w:ind w:firstLine="567"/>
        <w:rPr>
          <w:rFonts w:asciiTheme="minorHAnsi" w:hAnsiTheme="minorHAnsi" w:cstheme="minorHAnsi"/>
        </w:rPr>
      </w:pPr>
    </w:p>
    <w:p w14:paraId="74BE0528" w14:textId="77777777" w:rsidR="00154763" w:rsidRPr="0069032F" w:rsidRDefault="00154763" w:rsidP="00154763">
      <w:pPr>
        <w:tabs>
          <w:tab w:val="left" w:pos="567"/>
        </w:tabs>
        <w:ind w:firstLine="567"/>
        <w:rPr>
          <w:rFonts w:asciiTheme="minorHAnsi" w:hAnsiTheme="minorHAnsi" w:cstheme="minorHAnsi"/>
        </w:rPr>
      </w:pPr>
      <w:r w:rsidRPr="0069032F">
        <w:rPr>
          <w:rFonts w:asciiTheme="minorHAnsi" w:hAnsiTheme="minorHAnsi" w:cstheme="minorHAnsi"/>
        </w:rPr>
        <w:t xml:space="preserve">Direktyva 2002/58/EB – Asmens duomenų tvarkymas ir privataus gyvenimo apsauga elektroninių ryšių srityje – 2 straipsnio antros pastraipos h punktas – Sąvoka „elektroninis paštas“ – 13 straipsnio 1 dalis – Sąvoka „elektroninio pašto naudojimas tiesioginės rinkodaros tikslais“ – Direktyva 2005/29/EB – Nesąžininga komercinė praktika – I priedo 26 punktas – Sąvoka „atkaklus ir nepageidaujamas raginimas elektroniniu paštu“ – Reklaminiai pranešimai – </w:t>
      </w:r>
      <w:r w:rsidRPr="0069032F">
        <w:rPr>
          <w:rFonts w:asciiTheme="minorHAnsi" w:hAnsiTheme="minorHAnsi" w:cstheme="minorHAnsi"/>
          <w:i/>
          <w:iCs/>
        </w:rPr>
        <w:t>Inbox advertising</w:t>
      </w:r>
      <w:r w:rsidRPr="0069032F">
        <w:rPr>
          <w:rFonts w:asciiTheme="minorHAnsi" w:hAnsiTheme="minorHAnsi" w:cstheme="minorHAnsi"/>
        </w:rPr>
        <w:t xml:space="preserve"> (reklama gautų laiškų aplanke)</w:t>
      </w:r>
    </w:p>
    <w:p w14:paraId="38D8C6BE" w14:textId="77777777" w:rsidR="00154763" w:rsidRPr="0069032F" w:rsidRDefault="00154763" w:rsidP="00154763">
      <w:pPr>
        <w:tabs>
          <w:tab w:val="left" w:pos="6379"/>
        </w:tabs>
        <w:ind w:firstLine="567"/>
        <w:rPr>
          <w:rFonts w:asciiTheme="minorHAnsi" w:hAnsiTheme="minorHAnsi" w:cstheme="minorHAnsi"/>
        </w:rPr>
      </w:pPr>
    </w:p>
    <w:p w14:paraId="6F4D408F" w14:textId="77777777" w:rsidR="00154763" w:rsidRPr="0069032F" w:rsidRDefault="00154763" w:rsidP="00154763">
      <w:pPr>
        <w:tabs>
          <w:tab w:val="left" w:pos="6379"/>
        </w:tabs>
        <w:jc w:val="center"/>
        <w:rPr>
          <w:rFonts w:asciiTheme="minorHAnsi" w:hAnsiTheme="minorHAnsi" w:cstheme="minorHAnsi"/>
          <w:b/>
        </w:rPr>
      </w:pPr>
      <w:r w:rsidRPr="0069032F">
        <w:rPr>
          <w:rFonts w:asciiTheme="minorHAnsi" w:hAnsiTheme="minorHAnsi" w:cstheme="minorHAnsi"/>
          <w:b/>
        </w:rPr>
        <w:t>Bylos aplinkybės</w:t>
      </w:r>
    </w:p>
    <w:p w14:paraId="01B2B07A" w14:textId="77777777" w:rsidR="00154763" w:rsidRPr="0069032F" w:rsidRDefault="00154763" w:rsidP="00154763">
      <w:pPr>
        <w:rPr>
          <w:rFonts w:asciiTheme="minorHAnsi" w:hAnsiTheme="minorHAnsi" w:cstheme="minorHAnsi"/>
        </w:rPr>
      </w:pPr>
    </w:p>
    <w:p w14:paraId="3F28FBFB" w14:textId="77777777" w:rsidR="00154763" w:rsidRPr="0069032F" w:rsidRDefault="00154763" w:rsidP="00154763">
      <w:pPr>
        <w:ind w:firstLine="567"/>
        <w:rPr>
          <w:rFonts w:asciiTheme="minorHAnsi" w:hAnsiTheme="minorHAnsi" w:cstheme="minorHAnsi"/>
        </w:rPr>
      </w:pPr>
      <w:r w:rsidRPr="0069032F">
        <w:rPr>
          <w:rFonts w:asciiTheme="minorHAnsi" w:hAnsiTheme="minorHAnsi" w:cstheme="minorHAnsi"/>
          <w:i/>
          <w:iCs/>
        </w:rPr>
        <w:t>Eprimo</w:t>
      </w:r>
      <w:r w:rsidRPr="0069032F">
        <w:rPr>
          <w:rFonts w:asciiTheme="minorHAnsi" w:hAnsiTheme="minorHAnsi" w:cstheme="minorHAnsi"/>
        </w:rPr>
        <w:t xml:space="preserve"> prašymu reklamos agentūra </w:t>
      </w:r>
      <w:r w:rsidRPr="0069032F">
        <w:rPr>
          <w:rFonts w:asciiTheme="minorHAnsi" w:hAnsiTheme="minorHAnsi" w:cstheme="minorHAnsi"/>
          <w:i/>
          <w:iCs/>
        </w:rPr>
        <w:t>Interactive Media CCSP</w:t>
      </w:r>
      <w:r w:rsidRPr="0069032F">
        <w:rPr>
          <w:rFonts w:asciiTheme="minorHAnsi" w:hAnsiTheme="minorHAnsi" w:cstheme="minorHAnsi"/>
        </w:rPr>
        <w:t xml:space="preserve"> platino reklamą į nemokamos elektroninio pašto paslaugos </w:t>
      </w:r>
      <w:r w:rsidRPr="0069032F">
        <w:rPr>
          <w:rFonts w:asciiTheme="minorHAnsi" w:hAnsiTheme="minorHAnsi" w:cstheme="minorHAnsi"/>
          <w:i/>
          <w:iCs/>
        </w:rPr>
        <w:t>T</w:t>
      </w:r>
      <w:r w:rsidRPr="0069032F">
        <w:rPr>
          <w:rFonts w:ascii="Cambria Math" w:hAnsi="Cambria Math" w:cs="Cambria Math"/>
          <w:i/>
          <w:iCs/>
        </w:rPr>
        <w:t>‑</w:t>
      </w:r>
      <w:r w:rsidRPr="0069032F">
        <w:rPr>
          <w:rFonts w:asciiTheme="minorHAnsi" w:hAnsiTheme="minorHAnsi" w:cstheme="minorHAnsi"/>
          <w:i/>
          <w:iCs/>
        </w:rPr>
        <w:t>Online</w:t>
      </w:r>
      <w:r w:rsidRPr="0069032F">
        <w:rPr>
          <w:rFonts w:asciiTheme="minorHAnsi" w:hAnsiTheme="minorHAnsi" w:cstheme="minorHAnsi"/>
        </w:rPr>
        <w:t xml:space="preserve"> naudotojų elektroninio pašto </w:t>
      </w:r>
      <w:bookmarkEnd w:id="43"/>
      <w:r w:rsidRPr="0069032F">
        <w:rPr>
          <w:rFonts w:asciiTheme="minorHAnsi" w:hAnsiTheme="minorHAnsi" w:cstheme="minorHAnsi"/>
        </w:rPr>
        <w:t>dėžutes. Ši paslauga finansuojama iš reklamuotojų apmokamos reklamos ir naudotojams teikiama nemokamai. Reklaminiai pranešimai pasirodė naudotojų asmeninio elektroninio pašto gautų laiškų aplanke, t. y. rubrikoje, kurioje pateikiamas gautų elektroninių laiškų sąrašas, juos įterpiant tarp gautų elektroninių laiškų. Taigi naudotojai savo elektroninio pašto gautų laiškų aplankuose gavo reklaminius pranešimus. Juose pasirodė įrašai, kurie vizualiai skyrėsi nuo kitų paskyros naudotojo elektroninių laiškų sąrašo tik tuo, kad data buvo pakeista žodžiu „Anzeige“ (skelbimas), kad nebuvo paminėta jokio siuntėjo ir tekstas buvo rodomas pilkame fone. Sąraše esančio įrašo temos rubrikoje buvo paskelbtas tekstas, kuriame reklamuojama palankesnė elektros ir dujų tiekimo paslaugų kaina.</w:t>
      </w:r>
    </w:p>
    <w:p w14:paraId="2257A6DA" w14:textId="77777777" w:rsidR="00154763" w:rsidRPr="0069032F" w:rsidRDefault="00154763" w:rsidP="00154763">
      <w:pPr>
        <w:ind w:firstLine="567"/>
        <w:rPr>
          <w:rFonts w:asciiTheme="minorHAnsi" w:hAnsiTheme="minorHAnsi" w:cstheme="minorHAnsi"/>
        </w:rPr>
      </w:pPr>
      <w:r w:rsidRPr="0069032F">
        <w:rPr>
          <w:rFonts w:asciiTheme="minorHAnsi" w:hAnsiTheme="minorHAnsi" w:cstheme="minorHAnsi"/>
          <w:i/>
          <w:iCs/>
        </w:rPr>
        <w:t>T-Online</w:t>
      </w:r>
      <w:r w:rsidRPr="0069032F">
        <w:rPr>
          <w:rFonts w:asciiTheme="minorHAnsi" w:hAnsiTheme="minorHAnsi" w:cstheme="minorHAnsi"/>
        </w:rPr>
        <w:t> elektroninio pašto paslaugos funkcija atsiųstą nagrinėjamą reklaminį pranešimą naudotojo elektroninio pašto dėžutės gautų laiškų aplanke tvarko kitaip nei įprastus elektroninius laiškus: reklaminį pranešimą, atrodantį kaip laiškas, galima ištrinti iš sąrašo, bet negalima archyvuoti, keisti, persiųsti arba į jį atsakyti. Galiausiai šis reklaminis pranešimas nėra įtrauktas į bendrą gautų laiškų aplanke esančių elektroninių laiškų skaičių ir neužima vietos saugykloje.</w:t>
      </w:r>
    </w:p>
    <w:p w14:paraId="17A8BB6F" w14:textId="1C872205" w:rsidR="00154763" w:rsidRPr="0069032F" w:rsidRDefault="00154763" w:rsidP="00154763">
      <w:pPr>
        <w:ind w:firstLine="567"/>
        <w:rPr>
          <w:rFonts w:asciiTheme="minorHAnsi" w:hAnsiTheme="minorHAnsi" w:cstheme="minorHAnsi"/>
        </w:rPr>
      </w:pPr>
      <w:r w:rsidRPr="0069032F">
        <w:rPr>
          <w:rFonts w:asciiTheme="minorHAnsi" w:hAnsiTheme="minorHAnsi" w:cstheme="minorHAnsi"/>
          <w:i/>
          <w:iCs/>
        </w:rPr>
        <w:t>StWL Städtische Werke Lauf a.d. Pegnitz GmbH </w:t>
      </w:r>
      <w:r w:rsidRPr="0069032F">
        <w:rPr>
          <w:rFonts w:asciiTheme="minorHAnsi" w:hAnsiTheme="minorHAnsi" w:cstheme="minorHAnsi"/>
        </w:rPr>
        <w:t>(toliau</w:t>
      </w:r>
      <w:r w:rsidRPr="0069032F">
        <w:rPr>
          <w:rFonts w:asciiTheme="minorHAnsi" w:hAnsiTheme="minorHAnsi" w:cstheme="minorHAnsi"/>
          <w:i/>
          <w:iCs/>
        </w:rPr>
        <w:t> – StWL</w:t>
      </w:r>
      <w:r w:rsidRPr="0069032F">
        <w:rPr>
          <w:rFonts w:asciiTheme="minorHAnsi" w:hAnsiTheme="minorHAnsi" w:cstheme="minorHAnsi"/>
        </w:rPr>
        <w:t>)</w:t>
      </w:r>
      <w:r w:rsidRPr="0069032F">
        <w:rPr>
          <w:rFonts w:asciiTheme="minorHAnsi" w:hAnsiTheme="minorHAnsi" w:cstheme="minorHAnsi"/>
          <w:i/>
          <w:iCs/>
        </w:rPr>
        <w:t xml:space="preserve"> </w:t>
      </w:r>
      <w:r w:rsidRPr="0069032F">
        <w:rPr>
          <w:rFonts w:asciiTheme="minorHAnsi" w:hAnsiTheme="minorHAnsi" w:cstheme="minorHAnsi"/>
        </w:rPr>
        <w:t>manė, kad tokia reklaminė praktika, apimanti elektroninio pašto naudojimą be išankstinio ir aiškaus gavėjo sutikimo, prieštarauja sąžiningos konkurencijos taisyklėms, nes laikytina „nepriimtinu trukdymu“ ir klaidinančia, kaip tai suprantama pagal nacionalinį įstatymą. Dėl šios priežasties </w:t>
      </w:r>
      <w:r w:rsidRPr="0069032F">
        <w:rPr>
          <w:rFonts w:asciiTheme="minorHAnsi" w:hAnsiTheme="minorHAnsi" w:cstheme="minorHAnsi"/>
          <w:i/>
          <w:iCs/>
        </w:rPr>
        <w:t>StWL</w:t>
      </w:r>
      <w:r w:rsidRPr="0069032F">
        <w:rPr>
          <w:rFonts w:asciiTheme="minorHAnsi" w:hAnsiTheme="minorHAnsi" w:cstheme="minorHAnsi"/>
        </w:rPr>
        <w:t> kreipėsi į Vokietijos nacionalinį teismą su ieškiniu dėl </w:t>
      </w:r>
      <w:r w:rsidRPr="0069032F">
        <w:rPr>
          <w:rFonts w:asciiTheme="minorHAnsi" w:hAnsiTheme="minorHAnsi" w:cstheme="minorHAnsi"/>
          <w:i/>
          <w:iCs/>
        </w:rPr>
        <w:t>eprimo</w:t>
      </w:r>
      <w:r w:rsidRPr="0069032F">
        <w:rPr>
          <w:rFonts w:asciiTheme="minorHAnsi" w:hAnsiTheme="minorHAnsi" w:cstheme="minorHAnsi"/>
        </w:rPr>
        <w:t> veiksmų nutraukimo.</w:t>
      </w:r>
    </w:p>
    <w:p w14:paraId="3F2B5AAE" w14:textId="77777777" w:rsidR="00154763" w:rsidRPr="0069032F" w:rsidRDefault="00154763" w:rsidP="00154763">
      <w:pPr>
        <w:ind w:firstLine="567"/>
        <w:rPr>
          <w:rFonts w:asciiTheme="minorHAnsi" w:hAnsiTheme="minorHAnsi" w:cstheme="minorHAnsi"/>
        </w:rPr>
      </w:pPr>
      <w:r w:rsidRPr="0069032F">
        <w:rPr>
          <w:rFonts w:asciiTheme="minorHAnsi" w:hAnsiTheme="minorHAnsi" w:cstheme="minorHAnsi"/>
        </w:rPr>
        <w:t> </w:t>
      </w:r>
      <w:r w:rsidRPr="0069032F">
        <w:rPr>
          <w:rFonts w:asciiTheme="minorHAnsi" w:hAnsiTheme="minorHAnsi" w:cstheme="minorHAnsi"/>
          <w:i/>
          <w:iCs/>
        </w:rPr>
        <w:t>StWL</w:t>
      </w:r>
      <w:r w:rsidRPr="0069032F">
        <w:rPr>
          <w:rFonts w:asciiTheme="minorHAnsi" w:hAnsiTheme="minorHAnsi" w:cstheme="minorHAnsi"/>
        </w:rPr>
        <w:t> kasacinį skundą nagrinėjantis </w:t>
      </w:r>
      <w:r w:rsidRPr="0069032F">
        <w:rPr>
          <w:rFonts w:asciiTheme="minorHAnsi" w:hAnsiTheme="minorHAnsi" w:cstheme="minorHAnsi"/>
          <w:i/>
          <w:iCs/>
        </w:rPr>
        <w:t>Bundesgerichtshof</w:t>
      </w:r>
      <w:r w:rsidRPr="0069032F">
        <w:rPr>
          <w:rFonts w:asciiTheme="minorHAnsi" w:hAnsiTheme="minorHAnsi" w:cstheme="minorHAnsi"/>
        </w:rPr>
        <w:t> (Aukščiausiasis Federalinis Teismas, Vokietija) kreipėsi į Teisingumo Teismą su klausimais dėl Direktyvos 2002/58</w:t>
      </w:r>
      <w:r w:rsidRPr="0069032F">
        <w:rPr>
          <w:rStyle w:val="Puslapioinaosnuoroda"/>
          <w:rFonts w:asciiTheme="minorHAnsi" w:hAnsiTheme="minorHAnsi" w:cstheme="minorHAnsi"/>
        </w:rPr>
        <w:footnoteReference w:id="14"/>
      </w:r>
      <w:r w:rsidRPr="0069032F">
        <w:rPr>
          <w:rFonts w:asciiTheme="minorHAnsi" w:hAnsiTheme="minorHAnsi" w:cstheme="minorHAnsi"/>
        </w:rPr>
        <w:t xml:space="preserve"> 2 straipsnio antros pastraipos d ir h punktų ir 13 straipsnio 1 dalies bei Direktyvos 2005/29</w:t>
      </w:r>
      <w:r w:rsidRPr="0069032F">
        <w:rPr>
          <w:rStyle w:val="Puslapioinaosnuoroda"/>
          <w:rFonts w:asciiTheme="minorHAnsi" w:hAnsiTheme="minorHAnsi" w:cstheme="minorHAnsi"/>
        </w:rPr>
        <w:footnoteReference w:id="15"/>
      </w:r>
      <w:r w:rsidRPr="0069032F">
        <w:rPr>
          <w:rFonts w:asciiTheme="minorHAnsi" w:hAnsiTheme="minorHAnsi" w:cstheme="minorHAnsi"/>
        </w:rPr>
        <w:t xml:space="preserve"> I priedo 26 punkto aiškinimo. </w:t>
      </w:r>
    </w:p>
    <w:p w14:paraId="7D429861" w14:textId="77777777" w:rsidR="00154763" w:rsidRPr="0069032F" w:rsidRDefault="00154763" w:rsidP="00154763">
      <w:pPr>
        <w:rPr>
          <w:rFonts w:asciiTheme="minorHAnsi" w:hAnsiTheme="minorHAnsi" w:cstheme="minorHAnsi"/>
        </w:rPr>
      </w:pPr>
    </w:p>
    <w:p w14:paraId="7EDCB2E7" w14:textId="77777777" w:rsidR="00154763" w:rsidRPr="0069032F" w:rsidRDefault="00154763" w:rsidP="00154763">
      <w:pPr>
        <w:tabs>
          <w:tab w:val="left" w:pos="3156"/>
        </w:tabs>
        <w:rPr>
          <w:rFonts w:asciiTheme="minorHAnsi" w:hAnsiTheme="minorHAnsi" w:cstheme="minorHAnsi"/>
          <w:b/>
          <w:bCs/>
        </w:rPr>
      </w:pPr>
      <w:r w:rsidRPr="0069032F">
        <w:rPr>
          <w:rFonts w:asciiTheme="minorHAnsi" w:hAnsiTheme="minorHAnsi" w:cstheme="minorHAnsi"/>
        </w:rPr>
        <w:tab/>
      </w:r>
      <w:bookmarkStart w:id="44" w:name="_Hlk103938942"/>
      <w:r w:rsidRPr="0069032F">
        <w:rPr>
          <w:rFonts w:asciiTheme="minorHAnsi" w:hAnsiTheme="minorHAnsi" w:cstheme="minorHAnsi"/>
          <w:b/>
          <w:bCs/>
        </w:rPr>
        <w:t>Teisingumo Teismo vertinimas</w:t>
      </w:r>
      <w:bookmarkEnd w:id="44"/>
    </w:p>
    <w:p w14:paraId="73C836E2" w14:textId="77777777" w:rsidR="00154763" w:rsidRPr="0069032F" w:rsidRDefault="00154763" w:rsidP="00154763">
      <w:pPr>
        <w:tabs>
          <w:tab w:val="left" w:pos="3156"/>
        </w:tabs>
        <w:rPr>
          <w:rFonts w:asciiTheme="minorHAnsi" w:hAnsiTheme="minorHAnsi" w:cstheme="minorHAnsi"/>
        </w:rPr>
      </w:pPr>
    </w:p>
    <w:p w14:paraId="62EE7CC0" w14:textId="77777777" w:rsidR="00154763" w:rsidRPr="005A16AD" w:rsidRDefault="00154763" w:rsidP="005A16AD">
      <w:pPr>
        <w:pStyle w:val="Antrat3"/>
        <w:tabs>
          <w:tab w:val="clear" w:pos="567"/>
          <w:tab w:val="left" w:pos="426"/>
        </w:tabs>
        <w:ind w:firstLine="567"/>
      </w:pPr>
      <w:bookmarkStart w:id="45" w:name="_Toc105161252"/>
      <w:r w:rsidRPr="005A16AD">
        <w:t>Dėl sąvokų „elektroninio pašto naudojimas tiesioginės rinkodaros tikslais“ bei „atkaklus ir nepageidaujamas raginimas“ aiškinimo</w:t>
      </w:r>
      <w:bookmarkEnd w:id="45"/>
    </w:p>
    <w:p w14:paraId="7234CD4E" w14:textId="77777777" w:rsidR="00154763" w:rsidRPr="0069032F" w:rsidRDefault="00154763" w:rsidP="00154763">
      <w:pPr>
        <w:tabs>
          <w:tab w:val="left" w:pos="3156"/>
        </w:tabs>
        <w:rPr>
          <w:rFonts w:asciiTheme="minorHAnsi" w:hAnsiTheme="minorHAnsi" w:cstheme="minorHAnsi"/>
          <w:b/>
          <w:bCs/>
        </w:rPr>
      </w:pPr>
    </w:p>
    <w:p w14:paraId="6EB51754" w14:textId="77777777" w:rsidR="00154763" w:rsidRPr="0069032F" w:rsidRDefault="00154763" w:rsidP="00154763">
      <w:pPr>
        <w:tabs>
          <w:tab w:val="left" w:pos="3156"/>
        </w:tabs>
        <w:ind w:firstLine="567"/>
        <w:rPr>
          <w:rFonts w:asciiTheme="minorHAnsi" w:hAnsiTheme="minorHAnsi" w:cstheme="minorHAnsi"/>
          <w:u w:val="single"/>
        </w:rPr>
      </w:pPr>
      <w:r w:rsidRPr="0069032F">
        <w:rPr>
          <w:rFonts w:asciiTheme="minorHAnsi" w:hAnsiTheme="minorHAnsi" w:cstheme="minorHAnsi"/>
        </w:rPr>
        <w:lastRenderedPageBreak/>
        <w:t xml:space="preserve"> Direktyvos 2002/58 13 straipsnio 1 dalis turi būti aiškinama taip, kad </w:t>
      </w:r>
      <w:r w:rsidRPr="0069032F">
        <w:rPr>
          <w:rFonts w:asciiTheme="minorHAnsi" w:hAnsiTheme="minorHAnsi" w:cstheme="minorHAnsi"/>
          <w:u w:val="single"/>
        </w:rPr>
        <w:t>reklaminių pranešimų rodymas elektroninio pašto paslaugos naudotojo gautų laiškų aplanke į tikrus elektroninius laiškus panašia forma ir toje pačioje vietoje kaip ir šie laiškai yra „elektronin[io] pašt[o] [naudojimas] tiesioginės rinkodaros tikslais“, kaip tai suprantama pagal šią nuostatą, ir tam neturi reikšmės atsitiktinis minėtų pranešimų adresatų ar naudotojui sukeliamų nepatogumų laipsnio nustatymas, nes toks naudojimas leidžiamas tik jeigu minėtas naudotojas buvo aiškiai ir tiksliai informuotas apie tokios reklamos skelbimo, be kita ko, jo gautų asmeninių elektroninių laiškų sąraše, sąlygas ir konkrečiai bei žinodamas visas aplinkybes išreiškė sutikimą gauti tokius reklaminius pranešimus.</w:t>
      </w:r>
    </w:p>
    <w:p w14:paraId="344CE43B" w14:textId="77777777" w:rsidR="00154763" w:rsidRPr="0069032F" w:rsidRDefault="00154763" w:rsidP="00154763">
      <w:pPr>
        <w:tabs>
          <w:tab w:val="left" w:pos="3156"/>
        </w:tabs>
        <w:ind w:firstLine="567"/>
        <w:rPr>
          <w:rFonts w:asciiTheme="minorHAnsi" w:hAnsiTheme="minorHAnsi" w:cstheme="minorHAnsi"/>
        </w:rPr>
      </w:pPr>
      <w:r w:rsidRPr="0069032F">
        <w:rPr>
          <w:rFonts w:asciiTheme="minorHAnsi" w:hAnsiTheme="minorHAnsi" w:cstheme="minorHAnsi"/>
        </w:rPr>
        <w:t> Nagrinėjamu atveju iš Teisingumo Teismui pateiktos bylos medžiagos buvo matyti, kad per pagrindinėje byloje nagrinėjamo elektroninio pašto adreso registravimo procedūrą naudotojams teikiama dviejų kategorijų </w:t>
      </w:r>
      <w:r w:rsidRPr="0069032F">
        <w:rPr>
          <w:rFonts w:asciiTheme="minorHAnsi" w:hAnsiTheme="minorHAnsi" w:cstheme="minorHAnsi"/>
          <w:i/>
          <w:iCs/>
        </w:rPr>
        <w:t>T-Online</w:t>
      </w:r>
      <w:r w:rsidRPr="0069032F">
        <w:rPr>
          <w:rFonts w:asciiTheme="minorHAnsi" w:hAnsiTheme="minorHAnsi" w:cstheme="minorHAnsi"/>
        </w:rPr>
        <w:t> elektroninio pašto paslauga, t. y. nemokama pašto paslauga, finansuojama iš reklamos, ir mokama pašto paslauga be reklamos. Taigi naudotojai, pasirinkę nemokamą paslaugą, kaip buvo pagrindinėje byloje, sutinka gauti reklaminius skelbimus, siekdami nemokėti atlygio už naudojimąsi šia elektroninio pašto paslauga.</w:t>
      </w:r>
    </w:p>
    <w:p w14:paraId="04DC88E0" w14:textId="77777777" w:rsidR="00154763" w:rsidRPr="0069032F" w:rsidRDefault="00154763" w:rsidP="00154763">
      <w:pPr>
        <w:tabs>
          <w:tab w:val="left" w:pos="3156"/>
        </w:tabs>
        <w:ind w:firstLine="567"/>
        <w:rPr>
          <w:rFonts w:asciiTheme="minorHAnsi" w:hAnsiTheme="minorHAnsi" w:cstheme="minorHAnsi"/>
        </w:rPr>
      </w:pPr>
      <w:r w:rsidRPr="0069032F">
        <w:rPr>
          <w:rFonts w:asciiTheme="minorHAnsi" w:hAnsiTheme="minorHAnsi" w:cstheme="minorHAnsi"/>
        </w:rPr>
        <w:t>Teisingumo Teismas pažymėjo, kad šiuo klausimu prašymą priimti prejudicinį sprendimą pateikęs teismas turi nustatyti, ar atitinkamas naudotojas, pasirinkęs nemokamą </w:t>
      </w:r>
      <w:r w:rsidRPr="0069032F">
        <w:rPr>
          <w:rFonts w:asciiTheme="minorHAnsi" w:hAnsiTheme="minorHAnsi" w:cstheme="minorHAnsi"/>
          <w:i/>
          <w:iCs/>
        </w:rPr>
        <w:t>T-Online</w:t>
      </w:r>
      <w:r w:rsidRPr="0069032F">
        <w:rPr>
          <w:rFonts w:asciiTheme="minorHAnsi" w:hAnsiTheme="minorHAnsi" w:cstheme="minorHAnsi"/>
        </w:rPr>
        <w:t> elektroninio pašto paslaugą, buvo tinkamai informuotas apie konkrečią tokios reklamos skelbimo tvarką ir tikrai sutiko gauti reklaminius pranešimus, kaip antai nagrinėjamus pagrindinėje byloje. Visų pirma reikia įsitikinti, pirma, kad naudotojas buvo aiškiai ir tiksliai informuotas, be kita ko, apie tai, kad reklaminiai pranešimai rodomi gautų asmeninių elektroninių laiškų sąraše, ir, antra, kad sutikimą gauti tokius reklaminius pranešimus jis išreiškė konkrečiai ir gerai žinodamas visas aplinkybes (šiuo klausimu žr. 2020 m. lapkričio 11 d. Sprendimo </w:t>
      </w:r>
      <w:r w:rsidRPr="0069032F">
        <w:rPr>
          <w:rFonts w:asciiTheme="minorHAnsi" w:hAnsiTheme="minorHAnsi" w:cstheme="minorHAnsi"/>
          <w:i/>
          <w:iCs/>
        </w:rPr>
        <w:t>Orange Romania</w:t>
      </w:r>
      <w:r w:rsidRPr="0069032F">
        <w:rPr>
          <w:rFonts w:asciiTheme="minorHAnsi" w:hAnsiTheme="minorHAnsi" w:cstheme="minorHAnsi"/>
        </w:rPr>
        <w:t>, C</w:t>
      </w:r>
      <w:r w:rsidRPr="0069032F">
        <w:rPr>
          <w:rFonts w:asciiTheme="minorHAnsi" w:hAnsiTheme="minorHAnsi" w:cstheme="minorHAnsi"/>
        </w:rPr>
        <w:noBreakHyphen/>
        <w:t>61/19, EU:C:2020:901, 52 punktą).</w:t>
      </w:r>
    </w:p>
    <w:p w14:paraId="1B7B99E5" w14:textId="77777777" w:rsidR="00154763" w:rsidRPr="0069032F" w:rsidRDefault="00154763" w:rsidP="00154763">
      <w:pPr>
        <w:tabs>
          <w:tab w:val="left" w:pos="3156"/>
        </w:tabs>
        <w:ind w:firstLine="567"/>
        <w:rPr>
          <w:rFonts w:asciiTheme="minorHAnsi" w:hAnsiTheme="minorHAnsi" w:cstheme="minorHAnsi"/>
          <w:u w:val="single"/>
        </w:rPr>
      </w:pPr>
      <w:r w:rsidRPr="0069032F">
        <w:rPr>
          <w:rFonts w:asciiTheme="minorHAnsi" w:hAnsiTheme="minorHAnsi" w:cstheme="minorHAnsi"/>
        </w:rPr>
        <w:t xml:space="preserve">Teisingumo Teismas taip pat konstatavo, jog Direktyvos 2005/29 I priedo 26 punktas turi būti aiškinamas taip, kad </w:t>
      </w:r>
      <w:r w:rsidRPr="0069032F">
        <w:rPr>
          <w:rFonts w:asciiTheme="minorHAnsi" w:hAnsiTheme="minorHAnsi" w:cstheme="minorHAnsi"/>
          <w:u w:val="single"/>
        </w:rPr>
        <w:t>sąvoka elektroninio pašto paslaugų naudotojų „atkaklus ir nepageidaujamas raginimas“, kaip tai suprantama pagal šią nuostatą, apima tokią praktiką, kai reklaminiai pranešimai rodomi elektroninio pašto paslaugos naudotojo gautų laiškų aplanke į tikrus elektroninius laiškus panašia forma ir toje pačioje vietoje kaip ir šie laiškai, jeigu šie reklaminiai pranešimai rodomi pakankamai dažnai ir reguliariai, kad juos būtų galima laikyti „atkakliu“ raginimu, ir gali būti laikomi „nepageidaujamu“ raginimu, kai naudotojas dėl tokio rodymo nėra davęs išankstinio sutikimo.</w:t>
      </w:r>
    </w:p>
    <w:p w14:paraId="6FCBB996" w14:textId="77777777" w:rsidR="00154763" w:rsidRPr="0069032F" w:rsidRDefault="004D029A" w:rsidP="00154763">
      <w:pPr>
        <w:tabs>
          <w:tab w:val="left" w:pos="3156"/>
        </w:tabs>
        <w:ind w:firstLine="567"/>
        <w:rPr>
          <w:rFonts w:asciiTheme="minorHAnsi" w:hAnsiTheme="minorHAnsi" w:cstheme="minorHAnsi"/>
        </w:rPr>
      </w:pPr>
      <w:hyperlink r:id="rId22" w:history="1">
        <w:r w:rsidR="00154763" w:rsidRPr="0069032F">
          <w:rPr>
            <w:rStyle w:val="Hipersaitas"/>
            <w:rFonts w:asciiTheme="minorHAnsi" w:hAnsiTheme="minorHAnsi" w:cstheme="minorHAnsi"/>
          </w:rPr>
          <w:t>Prieiga internete</w:t>
        </w:r>
      </w:hyperlink>
    </w:p>
    <w:p w14:paraId="6480EC68" w14:textId="098AE333" w:rsidR="00154763" w:rsidRPr="0069032F" w:rsidRDefault="00154763" w:rsidP="00C8171C">
      <w:pPr>
        <w:ind w:firstLine="567"/>
        <w:jc w:val="center"/>
        <w:rPr>
          <w:rFonts w:asciiTheme="minorHAnsi" w:hAnsiTheme="minorHAnsi" w:cstheme="minorHAnsi"/>
          <w:b/>
          <w:bCs/>
          <w:color w:val="002060"/>
        </w:rPr>
      </w:pPr>
    </w:p>
    <w:p w14:paraId="594CC03E" w14:textId="77777777" w:rsidR="0057454E" w:rsidRPr="0069032F" w:rsidRDefault="0057454E" w:rsidP="005A16AD">
      <w:pPr>
        <w:pStyle w:val="Antrat1"/>
      </w:pPr>
      <w:bookmarkStart w:id="46" w:name="_Toc105161253"/>
      <w:bookmarkStart w:id="47" w:name="_Toc517273014"/>
      <w:r w:rsidRPr="0069032F">
        <w:t>TRANSPORTAS</w:t>
      </w:r>
      <w:bookmarkEnd w:id="46"/>
    </w:p>
    <w:p w14:paraId="7077FB96" w14:textId="77777777" w:rsidR="0057454E" w:rsidRPr="0069032F" w:rsidRDefault="0057454E" w:rsidP="0057454E">
      <w:pPr>
        <w:jc w:val="center"/>
        <w:rPr>
          <w:rFonts w:asciiTheme="minorHAnsi" w:hAnsiTheme="minorHAnsi" w:cstheme="minorHAnsi"/>
          <w:b/>
          <w:bCs/>
          <w:color w:val="002060"/>
          <w:lang w:eastAsia="lt-LT"/>
        </w:rPr>
      </w:pPr>
    </w:p>
    <w:p w14:paraId="45FBAD5E" w14:textId="77777777" w:rsidR="0057454E" w:rsidRPr="0069032F" w:rsidRDefault="0057454E" w:rsidP="005A16AD">
      <w:pPr>
        <w:pStyle w:val="Antrat1"/>
      </w:pPr>
      <w:bookmarkStart w:id="48" w:name="_Toc105161254"/>
      <w:r w:rsidRPr="0069032F">
        <w:t xml:space="preserve">2021 m. rugsėjo 9 d. sprendimas </w:t>
      </w:r>
      <w:bookmarkEnd w:id="47"/>
      <w:r w:rsidRPr="0069032F">
        <w:t xml:space="preserve">byloje </w:t>
      </w:r>
      <w:r w:rsidRPr="0069032F">
        <w:rPr>
          <w:i/>
        </w:rPr>
        <w:t>Ministère public (Sanctions extraterritoriales)</w:t>
      </w:r>
      <w:r w:rsidRPr="0069032F">
        <w:t>, C</w:t>
      </w:r>
      <w:r w:rsidRPr="0069032F">
        <w:rPr>
          <w:rFonts w:ascii="Cambria Math" w:hAnsi="Cambria Math" w:cs="Cambria Math"/>
        </w:rPr>
        <w:t>‑</w:t>
      </w:r>
      <w:r w:rsidRPr="0069032F">
        <w:t>906/19</w:t>
      </w:r>
      <w:bookmarkEnd w:id="48"/>
    </w:p>
    <w:p w14:paraId="6336BCFF" w14:textId="77777777" w:rsidR="0057454E" w:rsidRPr="0069032F" w:rsidRDefault="0057454E" w:rsidP="0057454E">
      <w:pPr>
        <w:jc w:val="center"/>
        <w:rPr>
          <w:rFonts w:asciiTheme="minorHAnsi" w:hAnsiTheme="minorHAnsi" w:cstheme="minorHAnsi"/>
          <w:b/>
          <w:bCs/>
          <w:iCs/>
          <w:color w:val="002060"/>
          <w:shd w:val="clear" w:color="auto" w:fill="FFFFFF"/>
        </w:rPr>
      </w:pPr>
    </w:p>
    <w:p w14:paraId="45FD7846" w14:textId="77777777" w:rsidR="0057454E" w:rsidRPr="0069032F" w:rsidRDefault="0057454E" w:rsidP="0057454E">
      <w:pPr>
        <w:pStyle w:val="c01pointnumerotealtn"/>
        <w:shd w:val="clear" w:color="auto" w:fill="FFFFFF"/>
        <w:spacing w:before="0" w:beforeAutospacing="0" w:after="0"/>
        <w:ind w:left="0" w:firstLine="567"/>
        <w:rPr>
          <w:rFonts w:asciiTheme="minorHAnsi" w:hAnsiTheme="minorHAnsi" w:cstheme="minorHAnsi"/>
          <w:sz w:val="22"/>
          <w:szCs w:val="22"/>
        </w:rPr>
      </w:pPr>
      <w:r w:rsidRPr="0069032F">
        <w:rPr>
          <w:rFonts w:asciiTheme="minorHAnsi" w:hAnsiTheme="minorHAnsi" w:cstheme="minorHAnsi"/>
          <w:sz w:val="22"/>
          <w:szCs w:val="22"/>
        </w:rPr>
        <w:t>Vežimas keliais – Tam tikrų socialinės teisės aktų nuostatų suderinimas – Reglamentas (EB) Nr. 561/2006 – 3 straipsnio a punktas – Reglamento netaikymas vežimui keliais keleivinėmis transporto priemonėmis, vežančiomis keleivius reguliariaisiais reisais, neviršijančiais 50 km – Mišraus naudojimo transporto priemonė – 19 straipsnio 2 dalis – Ekstrateritorinė sankcija – Vienos valstybės narės teritorijoje nustatytas pažeidimas, padarytas kitos valstybės narės teritorijoje – Principas „nėra nusikaltimų ir bausmių be įstatymo“ – Reglamentas (EEB) Nr. 3821/85 – Kelių transporto priemonėse naudojami tachografai – 15 straipsnio 2 dalis – Pareiga įstatyti vairuotojo kortelę – 15 straipsnio 7 dalis – Pareiga tikrinančio pareigūno prašymu pateikti vairuotojo kortelę – Vairuotojo kortelės neįstatymas į tachografą patikrinimo dieną ir kelias per 28 dienų laikotarpį prieš tai ėjusias dienas</w:t>
      </w:r>
    </w:p>
    <w:p w14:paraId="27FBF604" w14:textId="77777777" w:rsidR="0057454E" w:rsidRPr="0069032F" w:rsidRDefault="0057454E" w:rsidP="0057454E">
      <w:pPr>
        <w:pStyle w:val="c01pointnumerotealtn"/>
        <w:shd w:val="clear" w:color="auto" w:fill="FFFFFF"/>
        <w:spacing w:before="0" w:beforeAutospacing="0" w:after="0"/>
        <w:ind w:left="0" w:firstLine="567"/>
        <w:rPr>
          <w:rFonts w:asciiTheme="minorHAnsi" w:hAnsiTheme="minorHAnsi" w:cstheme="minorHAnsi"/>
          <w:sz w:val="22"/>
          <w:szCs w:val="22"/>
        </w:rPr>
      </w:pPr>
    </w:p>
    <w:p w14:paraId="0819B01A" w14:textId="77777777" w:rsidR="0057454E" w:rsidRPr="0069032F" w:rsidRDefault="0057454E" w:rsidP="0057454E">
      <w:pPr>
        <w:jc w:val="center"/>
        <w:rPr>
          <w:rFonts w:asciiTheme="minorHAnsi" w:hAnsiTheme="minorHAnsi" w:cstheme="minorHAnsi"/>
          <w:b/>
          <w:bCs/>
          <w:color w:val="000000"/>
          <w:shd w:val="clear" w:color="auto" w:fill="FFFFFF"/>
        </w:rPr>
      </w:pPr>
      <w:r w:rsidRPr="0069032F">
        <w:rPr>
          <w:rFonts w:asciiTheme="minorHAnsi" w:hAnsiTheme="minorHAnsi" w:cstheme="minorHAnsi"/>
          <w:b/>
          <w:bCs/>
          <w:color w:val="000000"/>
          <w:shd w:val="clear" w:color="auto" w:fill="FFFFFF"/>
        </w:rPr>
        <w:t>Bylos aplinkybės</w:t>
      </w:r>
    </w:p>
    <w:p w14:paraId="5C859535" w14:textId="77777777" w:rsidR="0057454E" w:rsidRPr="0069032F" w:rsidRDefault="0057454E" w:rsidP="0057454E">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0BBA0233" w14:textId="77777777" w:rsidR="0057454E" w:rsidRPr="0069032F" w:rsidRDefault="0057454E" w:rsidP="0057454E">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2013 m. balandžio 2 d. Versalyje (Prancūzija) Nusikalstamumo keliuose prevencijos ir kovos su pažeidimais skyriaus pareigūnai kelyje patikrino kelių transporto įmonės, kurios buveinė yra Zengentalyje (Vokietija), eksploatuotą autobusą. Per šį patikrinimą vairuotojo paprašyta pagrįsti einamąją dieną ir per prieš tai ėjusias 28 dienas vykdytą veiklą. Atlikus patikrinimą buvo konstatuota, kad 9 dienas, t. y. laikotarpiu nuo 2013 m. kovo 5 d. iki 16 d., transporto priemone važiuota neįstačius vairuotojo kortelės į tachografą. Po šių įvykių, remiantis Prancūzijos Transporto kodeksu (</w:t>
      </w:r>
      <w:r w:rsidRPr="0069032F">
        <w:rPr>
          <w:rFonts w:asciiTheme="minorHAnsi" w:hAnsiTheme="minorHAnsi" w:cstheme="minorHAnsi"/>
          <w:i/>
          <w:iCs/>
          <w:shd w:val="clear" w:color="auto" w:fill="FFFFFF"/>
        </w:rPr>
        <w:t>Code des transports</w:t>
      </w:r>
      <w:r w:rsidRPr="0069032F">
        <w:rPr>
          <w:rFonts w:asciiTheme="minorHAnsi" w:hAnsiTheme="minorHAnsi" w:cstheme="minorHAnsi"/>
          <w:iCs/>
          <w:shd w:val="clear" w:color="auto" w:fill="FFFFFF"/>
        </w:rPr>
        <w:t xml:space="preserve">), buvo pradėtas </w:t>
      </w:r>
      <w:r w:rsidRPr="0069032F">
        <w:rPr>
          <w:rFonts w:asciiTheme="minorHAnsi" w:hAnsiTheme="minorHAnsi" w:cstheme="minorHAnsi"/>
          <w:iCs/>
          <w:shd w:val="clear" w:color="auto" w:fill="FFFFFF"/>
        </w:rPr>
        <w:lastRenderedPageBreak/>
        <w:t>minėtos transporto įmonės vadovo FO baudžiamasis persekiojamas dėl minėtame kodekse nurodytos nusikalstamos veikos, padarytos devynis kartus.</w:t>
      </w:r>
    </w:p>
    <w:p w14:paraId="79F3203C" w14:textId="77777777" w:rsidR="0057454E" w:rsidRPr="0069032F" w:rsidRDefault="0057454E" w:rsidP="0057454E">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 xml:space="preserve">Baudžiamąją bylą nagrinėję pirmosios ir apeliacinės instancijos teismai pripažino, kad buvo padaryta nusikalstama veika, ir kaltinamajam buvo skirta 10 125 Eur bauda. FO pateikė kasacinį skundą </w:t>
      </w:r>
      <w:r w:rsidRPr="0069032F">
        <w:rPr>
          <w:rFonts w:asciiTheme="minorHAnsi" w:hAnsiTheme="minorHAnsi" w:cstheme="minorHAnsi"/>
          <w:i/>
          <w:iCs/>
          <w:shd w:val="clear" w:color="auto" w:fill="FFFFFF"/>
        </w:rPr>
        <w:t xml:space="preserve">Cour de cassation </w:t>
      </w:r>
      <w:r w:rsidRPr="0069032F">
        <w:rPr>
          <w:rFonts w:asciiTheme="minorHAnsi" w:hAnsiTheme="minorHAnsi" w:cstheme="minorHAnsi"/>
          <w:iCs/>
          <w:shd w:val="clear" w:color="auto" w:fill="FFFFFF"/>
        </w:rPr>
        <w:t>(Kasacinis teismas, Prancūzija), prašydamas, kad šis teismas pateiktų Teisingumo Teismui prašymą priimti prejudicinį sprendimą, kiek tai susiję su klausimu dėl Prancūzijos baudžiamųjų bylų teismų teritorinės jurisdikcijos.</w:t>
      </w:r>
      <w:r w:rsidRPr="0069032F">
        <w:rPr>
          <w:rFonts w:asciiTheme="minorHAnsi" w:eastAsia="Times New Roman" w:hAnsiTheme="minorHAnsi" w:cstheme="minorHAnsi"/>
          <w:color w:val="000000"/>
        </w:rPr>
        <w:t xml:space="preserve"> </w:t>
      </w:r>
      <w:r w:rsidRPr="0069032F">
        <w:rPr>
          <w:rFonts w:asciiTheme="minorHAnsi" w:hAnsiTheme="minorHAnsi" w:cstheme="minorHAnsi"/>
          <w:iCs/>
          <w:shd w:val="clear" w:color="auto" w:fill="FFFFFF"/>
        </w:rPr>
        <w:t>Be to, FO priekaištavo, kad apeliacinis teismas neatsakė į jo argumentus, jog teisės aktai dėl vairavimo trukmės ir poilsio laikotarpių netaikomi trumpesniems nei 50 km reisams.</w:t>
      </w:r>
    </w:p>
    <w:p w14:paraId="7F28A976" w14:textId="77777777" w:rsidR="0057454E" w:rsidRPr="0069032F" w:rsidRDefault="0057454E" w:rsidP="0057454E">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 xml:space="preserve">Šiomis aplinkybėmis </w:t>
      </w:r>
      <w:r w:rsidRPr="0069032F">
        <w:rPr>
          <w:rFonts w:asciiTheme="minorHAnsi" w:hAnsiTheme="minorHAnsi" w:cstheme="minorHAnsi"/>
          <w:i/>
          <w:iCs/>
          <w:shd w:val="clear" w:color="auto" w:fill="FFFFFF"/>
        </w:rPr>
        <w:t xml:space="preserve">Cour de cassation </w:t>
      </w:r>
      <w:r w:rsidRPr="0069032F">
        <w:rPr>
          <w:rFonts w:asciiTheme="minorHAnsi" w:hAnsiTheme="minorHAnsi" w:cstheme="minorHAnsi"/>
          <w:iCs/>
          <w:shd w:val="clear" w:color="auto" w:fill="FFFFFF"/>
        </w:rPr>
        <w:t>(Kasacinis teismas) nutarė sustabdyti bylos nagrinėjimą ir pateikti Teisingumo Teismui prejudicinius klausimus dėl Reglamento Nr. 561/2006</w:t>
      </w:r>
      <w:r w:rsidRPr="0069032F">
        <w:rPr>
          <w:rStyle w:val="Puslapioinaosnuoroda"/>
          <w:rFonts w:asciiTheme="minorHAnsi" w:hAnsiTheme="minorHAnsi" w:cstheme="minorHAnsi"/>
          <w:iCs/>
          <w:shd w:val="clear" w:color="auto" w:fill="FFFFFF"/>
        </w:rPr>
        <w:footnoteReference w:id="16"/>
      </w:r>
      <w:r w:rsidRPr="0069032F">
        <w:rPr>
          <w:rFonts w:asciiTheme="minorHAnsi" w:hAnsiTheme="minorHAnsi" w:cstheme="minorHAnsi"/>
          <w:iCs/>
          <w:shd w:val="clear" w:color="auto" w:fill="FFFFFF"/>
        </w:rPr>
        <w:t xml:space="preserve"> 19 straipsnio 2 dalies, pagal kurią valstybė narė įgalioja kompetentingas institucijas taikyti sankcijas ūkio subjektui ir (arba) vairuotojui už jos teritorijoje nustatytą šio reglamento pažeidimą, už kurį sankcija dar nebuvo taikyta, net ir tuo atveju, jei šis pažeidimas padarytas kitos valstybės narės ar trečiosios šalies teritorijoje, bei Reglamento Nr. 3821/85</w:t>
      </w:r>
      <w:r w:rsidRPr="0069032F">
        <w:rPr>
          <w:rStyle w:val="Puslapioinaosnuoroda"/>
          <w:rFonts w:asciiTheme="minorHAnsi" w:hAnsiTheme="minorHAnsi" w:cstheme="minorHAnsi"/>
          <w:iCs/>
          <w:shd w:val="clear" w:color="auto" w:fill="FFFFFF"/>
        </w:rPr>
        <w:footnoteReference w:id="17"/>
      </w:r>
      <w:r w:rsidRPr="0069032F">
        <w:rPr>
          <w:rFonts w:asciiTheme="minorHAnsi" w:hAnsiTheme="minorHAnsi" w:cstheme="minorHAnsi"/>
          <w:iCs/>
          <w:shd w:val="clear" w:color="auto" w:fill="FFFFFF"/>
        </w:rPr>
        <w:t>, iš dalies pakeisto Reglamentu Nr. 561/2006, 15 straipsnyje numatytų pareigų, pagal kurias vairuotojas privalo būti pasiruošęs tikrinančio pareigūno prašymu pateikti registracijos lapus ir visus einamąją dieną ir per prieš tai ėjusias 28 dienas darytus įrašus, tuo atveju, kai transporto priemonė naudojama „mišriai“, t. y. kai per 28 dienų laikotarpį transporto priemonė naudojama tiek keleivių vežimui reguliariaisiais maršrutais, neviršijančiais 50 km, pagal Reglamento Nr. 561/2006 3 straipsnio a punkte numatytą išimtį, tiek į šio reglamento taikymo sritį patenkančiam vežimui, aiškinimo.</w:t>
      </w:r>
    </w:p>
    <w:p w14:paraId="55FA03E2" w14:textId="77777777" w:rsidR="0057454E" w:rsidRPr="0069032F" w:rsidRDefault="0057454E" w:rsidP="0057454E">
      <w:pPr>
        <w:ind w:firstLine="567"/>
        <w:rPr>
          <w:rFonts w:asciiTheme="minorHAnsi" w:hAnsiTheme="minorHAnsi" w:cstheme="minorHAnsi"/>
          <w:color w:val="000000"/>
          <w:shd w:val="clear" w:color="auto" w:fill="FFFFFF"/>
        </w:rPr>
      </w:pPr>
    </w:p>
    <w:p w14:paraId="7373E438" w14:textId="77777777" w:rsidR="0057454E" w:rsidRPr="0069032F" w:rsidRDefault="0057454E" w:rsidP="0057454E">
      <w:pPr>
        <w:jc w:val="center"/>
        <w:rPr>
          <w:rFonts w:asciiTheme="minorHAnsi" w:hAnsiTheme="minorHAnsi" w:cstheme="minorHAnsi"/>
          <w:b/>
          <w:bCs/>
          <w:color w:val="000000"/>
          <w:shd w:val="clear" w:color="auto" w:fill="FFFFFF"/>
        </w:rPr>
      </w:pPr>
      <w:r w:rsidRPr="0069032F">
        <w:rPr>
          <w:rFonts w:asciiTheme="minorHAnsi" w:hAnsiTheme="minorHAnsi" w:cstheme="minorHAnsi"/>
          <w:b/>
          <w:bCs/>
          <w:color w:val="000000"/>
          <w:shd w:val="clear" w:color="auto" w:fill="FFFFFF"/>
        </w:rPr>
        <w:t>Teisingumo Teismo vertinimas</w:t>
      </w:r>
    </w:p>
    <w:p w14:paraId="4007207F" w14:textId="77777777" w:rsidR="0057454E" w:rsidRPr="0069032F" w:rsidRDefault="0057454E" w:rsidP="0057454E">
      <w:pPr>
        <w:ind w:firstLine="567"/>
        <w:rPr>
          <w:rFonts w:asciiTheme="minorHAnsi" w:hAnsiTheme="minorHAnsi" w:cstheme="minorHAnsi"/>
          <w:color w:val="000000"/>
          <w:shd w:val="clear" w:color="auto" w:fill="FFFFFF"/>
        </w:rPr>
      </w:pPr>
    </w:p>
    <w:p w14:paraId="6C766E31" w14:textId="77777777" w:rsidR="0057454E" w:rsidRPr="005A16AD" w:rsidRDefault="0057454E" w:rsidP="005A16AD">
      <w:pPr>
        <w:pStyle w:val="Antrat3"/>
        <w:tabs>
          <w:tab w:val="clear" w:pos="567"/>
          <w:tab w:val="left" w:pos="426"/>
        </w:tabs>
        <w:ind w:firstLine="567"/>
      </w:pPr>
      <w:bookmarkStart w:id="49" w:name="_Toc105161255"/>
      <w:r w:rsidRPr="005A16AD">
        <w:t>Dėl pareigos naudoti (įstatyti į tachografą) vairuotojo kortelę tais atvejais, kai transporto priemonė per 28 dienų laikotarpį naudojama „mišriai“, t. y. dalį laikotarpio naudojama keleivių vežimui reguliariaisiais maršrutais, neviršijančiais 50 km</w:t>
      </w:r>
      <w:bookmarkEnd w:id="49"/>
    </w:p>
    <w:p w14:paraId="166E47A3" w14:textId="77777777" w:rsidR="0057454E" w:rsidRPr="00FF0FF7" w:rsidRDefault="0057454E" w:rsidP="00FF0FF7"/>
    <w:p w14:paraId="1FBEF92E" w14:textId="77777777" w:rsidR="0057454E" w:rsidRPr="0069032F" w:rsidRDefault="0057454E" w:rsidP="0057454E">
      <w:pPr>
        <w:ind w:firstLine="567"/>
        <w:rPr>
          <w:rFonts w:asciiTheme="minorHAnsi" w:hAnsiTheme="minorHAnsi" w:cstheme="minorHAnsi"/>
          <w:color w:val="000000"/>
          <w:shd w:val="clear" w:color="auto" w:fill="FFFFFF"/>
        </w:rPr>
      </w:pPr>
      <w:r w:rsidRPr="0069032F">
        <w:rPr>
          <w:rFonts w:asciiTheme="minorHAnsi" w:hAnsiTheme="minorHAnsi" w:cstheme="minorHAnsi"/>
          <w:color w:val="000000"/>
          <w:shd w:val="clear" w:color="auto" w:fill="FFFFFF"/>
        </w:rPr>
        <w:t xml:space="preserve">Pagal Reglamento Nr. 3821/85 3 straipsnio 1 dalį Sąjungos valstybėse narėse registruotose transporto priemonėse, naudojamose keleiviams ir kroviniams vežti keliais, išskyrus Reglamento Nr. 561/2006 3 straipsnyje nurodytose transporto priemonėse, privalo būti įrengtas tachografas. Vis dėlto pastarojo reglamento 3 straipsnio a punkte nurodyta, kad jis netaikomas vežimui keliais transporto priemonėmis, vežančiomis keleivius reguliariaisiais reisais, neviršijančiais 50 km. Dėl šios formuluotės Teisingumo Teismas pažymėjo, kad </w:t>
      </w:r>
      <w:r w:rsidRPr="0069032F">
        <w:rPr>
          <w:rFonts w:asciiTheme="minorHAnsi" w:hAnsiTheme="minorHAnsi" w:cstheme="minorHAnsi"/>
          <w:color w:val="000000"/>
          <w:u w:val="single"/>
          <w:shd w:val="clear" w:color="auto" w:fill="FFFFFF"/>
        </w:rPr>
        <w:t>Reglamento Nr. 561/2006 3 straipsnio a punkte vartojami žodžiai „transporto priemonės, vežančios“ keleivius „reguliariais[iais] reisais“, kurių maršruto linija neviršija 50 km, leidžia manyti, jog ji apima tik transporto priemones, skirtas išimtinai tokiam vežimui, o ne tik retkarčiais tuo tikslu naudojamas transporto priemones</w:t>
      </w:r>
      <w:r w:rsidRPr="0069032F">
        <w:rPr>
          <w:rFonts w:asciiTheme="minorHAnsi" w:hAnsiTheme="minorHAnsi" w:cstheme="minorHAnsi"/>
          <w:color w:val="000000"/>
          <w:shd w:val="clear" w:color="auto" w:fill="FFFFFF"/>
        </w:rPr>
        <w:t>. Teisingumo Teismas pabrėžė, kad pabrėžti, kad Reglamento Nr. 561/2006 3 straipsnio a punktas, atsižvelgiant į tai, jog jame nustatyta šio reglamento taikymo srities išimtis, turi būti aiškinamas siaurai. Konkrečiai kalbant, tokia išimtis negali būti aiškinama taip, kad jos pasekmės viršytų tai, kas būtina siekiant apsaugoti interesus, kuriuos ja siekiama užtikrinti, o jos apimtis turi būti nustatyta atsižvelgiant į nagrinėjamo teisės akto tikslus.</w:t>
      </w:r>
    </w:p>
    <w:p w14:paraId="7C6A1FB1" w14:textId="77777777" w:rsidR="0057454E" w:rsidRPr="0069032F" w:rsidRDefault="0057454E" w:rsidP="0057454E">
      <w:pPr>
        <w:ind w:firstLine="567"/>
        <w:rPr>
          <w:rFonts w:asciiTheme="minorHAnsi" w:eastAsia="Times New Roman" w:hAnsiTheme="minorHAnsi" w:cstheme="minorHAnsi"/>
          <w:color w:val="000000"/>
          <w:lang w:eastAsia="lt-LT"/>
        </w:rPr>
      </w:pPr>
      <w:r w:rsidRPr="0069032F">
        <w:rPr>
          <w:rFonts w:asciiTheme="minorHAnsi" w:hAnsiTheme="minorHAnsi" w:cstheme="minorHAnsi"/>
          <w:color w:val="000000"/>
          <w:shd w:val="clear" w:color="auto" w:fill="FFFFFF"/>
        </w:rPr>
        <w:t xml:space="preserve">Teisingumo Teismas priminė, kad </w:t>
      </w:r>
      <w:r w:rsidRPr="0069032F">
        <w:rPr>
          <w:rFonts w:asciiTheme="minorHAnsi" w:hAnsiTheme="minorHAnsi" w:cstheme="minorHAnsi"/>
          <w:color w:val="000000"/>
          <w:u w:val="single"/>
          <w:shd w:val="clear" w:color="auto" w:fill="FFFFFF"/>
        </w:rPr>
        <w:t>vairuotojui nustatyta pareiga registruoti visus Reglamento Nr. 3821/85 15 straipsnio 3 dalies b punkte nurodytus laikotarpius apima ir tuos laikotarpius, per kuriuos jis teikia vežimo paslaugas, kurios pagal Reglamento Nr. 3820/85 4 straipsnio 3 punktą ir Reglamento Nr. 3821/85 3 straipsnio 1 dalį nepatenka į Reglamento Nr. 3821/85 taikymo sritį</w:t>
      </w:r>
      <w:r w:rsidRPr="0069032F">
        <w:rPr>
          <w:rFonts w:asciiTheme="minorHAnsi" w:hAnsiTheme="minorHAnsi" w:cstheme="minorHAnsi"/>
          <w:color w:val="000000"/>
          <w:shd w:val="clear" w:color="auto" w:fill="FFFFFF"/>
        </w:rPr>
        <w:t xml:space="preserve">. Iš tiesų toks laikotarpis laikytinas realiu vairuotojo veiklos laikotarpiu, per kurį jis negali laisvai naudotis savo laiku ir kuris, atsižvelgiant į tai, kad gali lemti vairuotojo nuovargį, gali turėti įtakos jo vairavimui. </w:t>
      </w:r>
      <w:r w:rsidRPr="0069032F">
        <w:rPr>
          <w:rFonts w:asciiTheme="minorHAnsi" w:eastAsia="Times New Roman" w:hAnsiTheme="minorHAnsi" w:cstheme="minorHAnsi"/>
          <w:color w:val="000000"/>
          <w:lang w:eastAsia="lt-LT"/>
        </w:rPr>
        <w:t xml:space="preserve">Poveikis vairuotojo gebėjimui vairuoti gali būti daromas net ir tuo atveju, jeigu dienos, kai registravimas nebuvo atliktas, skiriasi nuo tų dienų, kai registravimas buvo atliktas tinkamai. Iš tiesų tachografe neužfiksuotas taisyklių </w:t>
      </w:r>
      <w:r w:rsidRPr="0069032F">
        <w:rPr>
          <w:rFonts w:asciiTheme="minorHAnsi" w:eastAsia="Times New Roman" w:hAnsiTheme="minorHAnsi" w:cstheme="minorHAnsi"/>
          <w:color w:val="000000"/>
          <w:lang w:eastAsia="lt-LT"/>
        </w:rPr>
        <w:lastRenderedPageBreak/>
        <w:t>dėl vairavimo trukmės, pertraukų ir poilsio laikotarpių nesilaikymas tomis dienomis, kai registravimas nebuvo atliktas, vėliau gali daryti neigiamą poveikį vairuotojo fiziniam ir psichologiniam pajėgumui. Šį aiškinimą patvirtina Reglamento Nr. 561/2006 6 straipsnio 5 dalis, pagal kurią kiekvienas vairuotojas įpareigojamas kaip „kitus darbus“ įregistruoti bet kurį laikotarpį, per kurį vairavo transporto priemonę, naudojamą komercinėms operacijoms, nepatenkančioms į šio reglamento taikymo sritį. Taigi, pritarimas tokiam Reglamento Nr. 561/2006 3 straipsnio a punkto aiškinimui, pagal kurį šioje nuostatoje numatyta šio reglamento taikymo srities išimtis apima ne vien tik atitinkamos transporto priemonės išimtinį naudojimą konkrečiam minėtoje nuostatoje numatytam vežimui keliais, prieštarautų šiuo reglamentu siekiamam tikslui pagerinti darbo sąlygas ir užtikrinti kelių eismo saugumą, todėl Reglamentas Nr. 561/2006 būtų netaikomas, kai ši transporto priemonė būtų naudojama pagal tam tikrą paskirtį, galinčią daryti įtaką vairavimui, ir į tai nebūtų atsižvelgta tikrinant Reglamento Nr. 3821/85 15 straipsnio 2, 3 ir 7dalių laikymąsi.</w:t>
      </w:r>
    </w:p>
    <w:p w14:paraId="0E4EBC2B" w14:textId="77777777" w:rsidR="0057454E" w:rsidRPr="0069032F" w:rsidRDefault="0057454E" w:rsidP="0057454E">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Atsižvelgęs į tai, Teisingumo Teismas konstatavo, kad Reglamento (EB) Nr. 561/2006 3 straipsnio a punktas turi būti aiškinamas taip, kad vairuotojas, kuris vykdo į šio reglamento taikymo sritį patenkantį vežimą keliais, privalo būti pasiruošęs tikrinančio pareigūno prašymu pateikti vairuotojo kortelę, registracijos lapus ir visus patikrinimo dieną ir per prieš tai ėjusias 28 dienas darytus įrašus, kaip numatyta Reglamento (EB) Nr. 3821/85, iš dalies pakeisto Reglamentu (EB) Nr. 561/2006, 15 straipsnio 2, 3 ir 7 dalyse, net jeigu per šį laikotarpį šis vairuotojas tą pačią transporto priemonę naudojo keleivių vežimui reguliariaisiais reisais, neviršijančiais 50 km.</w:t>
      </w:r>
    </w:p>
    <w:p w14:paraId="7D9582A0" w14:textId="77777777" w:rsidR="0057454E" w:rsidRPr="0069032F" w:rsidRDefault="0057454E" w:rsidP="0057454E">
      <w:pPr>
        <w:ind w:firstLine="567"/>
        <w:rPr>
          <w:rFonts w:asciiTheme="minorHAnsi" w:eastAsia="Times New Roman" w:hAnsiTheme="minorHAnsi" w:cstheme="minorHAnsi"/>
          <w:color w:val="000000"/>
          <w:lang w:eastAsia="lt-LT"/>
        </w:rPr>
      </w:pPr>
    </w:p>
    <w:p w14:paraId="6BC13F7D" w14:textId="77777777" w:rsidR="0057454E" w:rsidRPr="005A16AD" w:rsidRDefault="0057454E" w:rsidP="005A16AD">
      <w:pPr>
        <w:pStyle w:val="Antrat3"/>
        <w:tabs>
          <w:tab w:val="clear" w:pos="567"/>
          <w:tab w:val="left" w:pos="426"/>
        </w:tabs>
        <w:ind w:firstLine="567"/>
      </w:pPr>
      <w:bookmarkStart w:id="50" w:name="_Toc105161256"/>
      <w:r w:rsidRPr="005A16AD">
        <w:t>Dėl valstybės narės kompetentingos institucijos jurisdikcijos skirti sankciją transporto priemonės vairuotojui ar transporto įmonei už Reglamento Nr. 3821/85 pažeidimą, kuris padarytas kitos valstybės narės ar trečiosios šalies teritorijoje, tačiau kuris buvo konstatuotas jos teritorijoje ir už kurį sankcija dar nebuvo taikyta</w:t>
      </w:r>
      <w:bookmarkEnd w:id="50"/>
    </w:p>
    <w:p w14:paraId="6FAD98EA" w14:textId="77777777" w:rsidR="0057454E" w:rsidRPr="0069032F" w:rsidRDefault="0057454E" w:rsidP="0057454E">
      <w:pPr>
        <w:ind w:firstLine="567"/>
        <w:rPr>
          <w:rFonts w:asciiTheme="minorHAnsi" w:hAnsiTheme="minorHAnsi" w:cstheme="minorHAnsi"/>
          <w:iCs/>
          <w:shd w:val="clear" w:color="auto" w:fill="FFFFFF"/>
        </w:rPr>
      </w:pPr>
    </w:p>
    <w:p w14:paraId="71D0489C" w14:textId="4B583BC0" w:rsidR="0057454E" w:rsidRPr="0069032F" w:rsidRDefault="0057454E" w:rsidP="0057454E">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 xml:space="preserve">Šiuo klausimu Teisingumo Teismas pirmiausia pažymėjo, kad paties Reglamento Nr. 561/2006 19 straipsnio 2 dalyje nedviprasmiškai numatyta, jog valstybė narė įgalioja kompetentingas institucijas taikyti sankcijas ūkio subjektui ir (arba) vairuotojui už jos teritorijoje nustatytą šio reglamento pažeidimą, už kurį sankcija dar nebuvo taikyta, net ir tuo atveju, jei šis pažeidimas padarytas kitos valstybės narės ar trečiosios šalies teritorijoje, bet </w:t>
      </w:r>
      <w:r w:rsidRPr="0069032F">
        <w:rPr>
          <w:rFonts w:asciiTheme="minorHAnsi" w:hAnsiTheme="minorHAnsi" w:cstheme="minorHAnsi"/>
          <w:iCs/>
          <w:u w:val="single"/>
          <w:shd w:val="clear" w:color="auto" w:fill="FFFFFF"/>
        </w:rPr>
        <w:t>tik tuo atveju, kai padarytas „šio reglamento pažeidimas“. Taigi iš nurodytos formuluotės aiškiai matyti, kad ši nuostata susijusi tik su Reglamento Nr. 561/2006, o ne su Reglamento Nr. 3821/85 pažeidimais</w:t>
      </w:r>
      <w:r w:rsidRPr="0069032F">
        <w:rPr>
          <w:rFonts w:asciiTheme="minorHAnsi" w:hAnsiTheme="minorHAnsi" w:cstheme="minorHAnsi"/>
          <w:iCs/>
          <w:shd w:val="clear" w:color="auto" w:fill="FFFFFF"/>
        </w:rPr>
        <w:t>.</w:t>
      </w:r>
      <w:r w:rsidRPr="0069032F">
        <w:rPr>
          <w:rFonts w:asciiTheme="minorHAnsi" w:eastAsia="Times New Roman" w:hAnsiTheme="minorHAnsi" w:cstheme="minorHAnsi"/>
          <w:color w:val="000000"/>
        </w:rPr>
        <w:t xml:space="preserve"> </w:t>
      </w:r>
      <w:r w:rsidRPr="0069032F">
        <w:rPr>
          <w:rFonts w:asciiTheme="minorHAnsi" w:hAnsiTheme="minorHAnsi" w:cstheme="minorHAnsi"/>
          <w:iCs/>
          <w:shd w:val="clear" w:color="auto" w:fill="FFFFFF"/>
        </w:rPr>
        <w:t>Tokį pažodinį aiškinimą patvirtina Reglamento Nr. 561/2006 19</w:t>
      </w:r>
      <w:r w:rsidR="009E1656">
        <w:rPr>
          <w:rFonts w:asciiTheme="minorHAnsi" w:hAnsiTheme="minorHAnsi" w:cstheme="minorHAnsi"/>
          <w:iCs/>
          <w:shd w:val="clear" w:color="auto" w:fill="FFFFFF"/>
        </w:rPr>
        <w:t> </w:t>
      </w:r>
      <w:r w:rsidRPr="0069032F">
        <w:rPr>
          <w:rFonts w:asciiTheme="minorHAnsi" w:hAnsiTheme="minorHAnsi" w:cstheme="minorHAnsi"/>
          <w:iCs/>
          <w:shd w:val="clear" w:color="auto" w:fill="FFFFFF"/>
        </w:rPr>
        <w:t>straipsnio 2 dalies kontekstas, konkrečiai – Reglamento Nr. 561/2006 19 straipsnio 1 ir 4 dalys.</w:t>
      </w:r>
    </w:p>
    <w:p w14:paraId="5E7E6F66" w14:textId="77777777" w:rsidR="0057454E" w:rsidRPr="0069032F" w:rsidRDefault="0057454E" w:rsidP="0057454E">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Be to, toks aiškinimas yra vienintelis, kuris atitinka Europos Sąjungos pagrindinių teisių chartijos 49 straipsnio 1 dalyje įtvirtintą principą „nėra nusikaltimų ir bausmių be įstatymo“, pagal kurį reikalaujama, kad teisės aktai aiškiai apibrėžtų pažeidimus ir už juos taikomas bausmes, o ši sąlyga įvykdoma, jei teisės subjektas iš atitinkamos nuostatos formuluotės ir prireikus iš teismų pateikto išaiškinimo gali žinoti, kurie veiksmai ir neveikimas užtraukia baudžiamąją atsakomybę.</w:t>
      </w:r>
    </w:p>
    <w:p w14:paraId="33847718" w14:textId="10C226FB" w:rsidR="0057454E" w:rsidRPr="0069032F" w:rsidRDefault="0057454E" w:rsidP="0057454E">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Šiomis aplinkybėmis Teisingumo Teismas konstatavo, kad Reglamento (EB) Nr. 561/2006 19</w:t>
      </w:r>
      <w:r w:rsidR="009E1656">
        <w:rPr>
          <w:rFonts w:asciiTheme="minorHAnsi" w:hAnsiTheme="minorHAnsi" w:cstheme="minorHAnsi"/>
          <w:iCs/>
          <w:shd w:val="clear" w:color="auto" w:fill="FFFFFF"/>
        </w:rPr>
        <w:t> </w:t>
      </w:r>
      <w:r w:rsidRPr="0069032F">
        <w:rPr>
          <w:rFonts w:asciiTheme="minorHAnsi" w:hAnsiTheme="minorHAnsi" w:cstheme="minorHAnsi"/>
          <w:iCs/>
          <w:shd w:val="clear" w:color="auto" w:fill="FFFFFF"/>
        </w:rPr>
        <w:t>straipsnio 2 dalis turi būti aiškinama taip, kad pagal ją draudžiama valstybės narės kompetentingoms institucijoms skirti sankciją transporto priemonės vairuotojui ar transporto įmonei už Reglamento Nr. 3821/85, iš dalies pakeisto Reglamentu (EB) Nr. 561/2006, pažeidimą, padarytą kitos valstybės narės ar trečiosios šalies teritorijoje, kuris buvo konstatuotas jos teritorijoje ir už kurį sankcija dar nebuvo skirta.</w:t>
      </w:r>
    </w:p>
    <w:p w14:paraId="7BD9A1CA" w14:textId="77777777" w:rsidR="0057454E" w:rsidRPr="0069032F" w:rsidRDefault="004D029A" w:rsidP="0057454E">
      <w:pPr>
        <w:ind w:firstLine="567"/>
        <w:rPr>
          <w:rFonts w:asciiTheme="minorHAnsi" w:hAnsiTheme="minorHAnsi" w:cstheme="minorHAnsi"/>
          <w:color w:val="0000FF"/>
          <w:u w:val="single"/>
        </w:rPr>
      </w:pPr>
      <w:hyperlink r:id="rId23" w:history="1">
        <w:r w:rsidR="0057454E" w:rsidRPr="0069032F">
          <w:rPr>
            <w:rStyle w:val="Hipersaitas"/>
            <w:rFonts w:asciiTheme="minorHAnsi" w:hAnsiTheme="minorHAnsi" w:cstheme="minorHAnsi"/>
          </w:rPr>
          <w:t>Prieiga internete</w:t>
        </w:r>
      </w:hyperlink>
    </w:p>
    <w:p w14:paraId="303AC2B7" w14:textId="4D0048EA" w:rsidR="0057454E" w:rsidRDefault="0057454E" w:rsidP="00C8171C">
      <w:pPr>
        <w:ind w:firstLine="567"/>
        <w:jc w:val="center"/>
        <w:rPr>
          <w:rFonts w:asciiTheme="minorHAnsi" w:hAnsiTheme="minorHAnsi" w:cstheme="minorHAnsi"/>
          <w:b/>
          <w:bCs/>
          <w:color w:val="002060"/>
        </w:rPr>
      </w:pPr>
    </w:p>
    <w:p w14:paraId="06E54DC8" w14:textId="77777777" w:rsidR="0070684E" w:rsidRPr="0069032F" w:rsidRDefault="0070684E" w:rsidP="005A16AD">
      <w:pPr>
        <w:pStyle w:val="Antrat1"/>
        <w:rPr>
          <w:rFonts w:eastAsia="Times New Roman"/>
          <w:lang w:eastAsia="lt-LT"/>
        </w:rPr>
      </w:pPr>
      <w:bookmarkStart w:id="51" w:name="_Toc105161257"/>
      <w:r w:rsidRPr="0069032F">
        <w:rPr>
          <w:rFonts w:eastAsia="Times New Roman"/>
          <w:lang w:eastAsia="lt-LT"/>
        </w:rPr>
        <w:t>VALSTYBĖS PAGALBA</w:t>
      </w:r>
      <w:bookmarkEnd w:id="51"/>
    </w:p>
    <w:p w14:paraId="25E5AC41" w14:textId="77777777" w:rsidR="0070684E" w:rsidRPr="0069032F" w:rsidRDefault="0070684E" w:rsidP="0070684E">
      <w:pPr>
        <w:ind w:firstLine="567"/>
        <w:rPr>
          <w:rFonts w:asciiTheme="minorHAnsi" w:eastAsia="Times New Roman" w:hAnsiTheme="minorHAnsi" w:cstheme="minorHAnsi"/>
          <w:color w:val="000000"/>
          <w:lang w:eastAsia="lt-LT"/>
        </w:rPr>
      </w:pPr>
    </w:p>
    <w:p w14:paraId="770DEEBC" w14:textId="16031837" w:rsidR="0070684E" w:rsidRPr="005A16AD" w:rsidRDefault="0070684E" w:rsidP="005A16AD">
      <w:pPr>
        <w:pStyle w:val="Antrat1"/>
        <w:rPr>
          <w:i/>
          <w:iCs/>
        </w:rPr>
      </w:pPr>
      <w:bookmarkStart w:id="52" w:name="_Toc105161258"/>
      <w:r w:rsidRPr="0069032F">
        <w:t xml:space="preserve">2021 m. spalio 28 d. sprendimas </w:t>
      </w:r>
      <w:r w:rsidR="009749B8">
        <w:t xml:space="preserve">sujungtose </w:t>
      </w:r>
      <w:r w:rsidRPr="0069032F">
        <w:t>by</w:t>
      </w:r>
      <w:r w:rsidR="009749B8">
        <w:t xml:space="preserve">lose </w:t>
      </w:r>
      <w:r w:rsidRPr="0069032F">
        <w:rPr>
          <w:i/>
          <w:iCs/>
        </w:rPr>
        <w:t>Eco Fox</w:t>
      </w:r>
      <w:r w:rsidR="005A16AD">
        <w:rPr>
          <w:i/>
          <w:iCs/>
        </w:rPr>
        <w:t xml:space="preserve">, </w:t>
      </w:r>
      <w:r w:rsidRPr="0069032F">
        <w:t>C</w:t>
      </w:r>
      <w:r w:rsidRPr="0069032F">
        <w:noBreakHyphen/>
        <w:t>915/19–C</w:t>
      </w:r>
      <w:r w:rsidRPr="0069032F">
        <w:noBreakHyphen/>
        <w:t>917/19</w:t>
      </w:r>
      <w:bookmarkEnd w:id="52"/>
    </w:p>
    <w:p w14:paraId="6C8C9A2E" w14:textId="77777777" w:rsidR="0070684E" w:rsidRPr="00FF0FF7" w:rsidRDefault="0070684E" w:rsidP="00FF0FF7"/>
    <w:p w14:paraId="6903C886" w14:textId="77777777" w:rsidR="0070684E" w:rsidRPr="00A8579D" w:rsidRDefault="0070684E" w:rsidP="00A8579D">
      <w:pPr>
        <w:pStyle w:val="c02alineaalta"/>
        <w:spacing w:before="0" w:beforeAutospacing="0" w:after="0" w:afterAutospacing="0"/>
        <w:ind w:firstLine="567"/>
        <w:jc w:val="both"/>
        <w:rPr>
          <w:rFonts w:asciiTheme="minorHAnsi" w:hAnsiTheme="minorHAnsi" w:cstheme="minorHAnsi"/>
          <w:color w:val="000000"/>
          <w:sz w:val="22"/>
          <w:szCs w:val="22"/>
        </w:rPr>
      </w:pPr>
      <w:r w:rsidRPr="0069032F">
        <w:rPr>
          <w:rFonts w:asciiTheme="minorHAnsi" w:hAnsiTheme="minorHAnsi" w:cstheme="minorHAnsi"/>
          <w:color w:val="000000"/>
          <w:sz w:val="22"/>
          <w:szCs w:val="22"/>
        </w:rPr>
        <w:t>Valstybės pagalba – Biodyzelino rinka – Pagalbos schema, pagal kurią nustatomos biodyzelino, kuriam netaikomas akcizas, kvotos – Patvirtintos pagalbos schemos pakeitimas – Kvotų skyrimo kriterijų pakeitimas – Pareiga iš anksto pranešti Europos Komisijai – Reglamentas (EB) Nr. 659/1999–1 straipsnio c punktas – Sąvoka „nauja pagalba“ – Reglamentas (EB) Nr. 794/2004 – 4 straipsnio 1 dalis – Sąvoka „esamos pagalbos pakeitimas“</w:t>
      </w:r>
    </w:p>
    <w:p w14:paraId="5130B996" w14:textId="77777777" w:rsidR="0070684E" w:rsidRPr="0069032F" w:rsidRDefault="0070684E" w:rsidP="0070684E">
      <w:pPr>
        <w:pStyle w:val="c37motclefinretrait1"/>
        <w:jc w:val="center"/>
        <w:rPr>
          <w:rFonts w:asciiTheme="minorHAnsi" w:hAnsiTheme="minorHAnsi" w:cstheme="minorHAnsi"/>
          <w:b/>
          <w:color w:val="000000"/>
          <w:sz w:val="22"/>
          <w:szCs w:val="22"/>
        </w:rPr>
      </w:pPr>
      <w:r w:rsidRPr="0069032F">
        <w:rPr>
          <w:rFonts w:asciiTheme="minorHAnsi" w:hAnsiTheme="minorHAnsi" w:cstheme="minorHAnsi"/>
          <w:b/>
          <w:color w:val="000000"/>
          <w:sz w:val="22"/>
          <w:szCs w:val="22"/>
        </w:rPr>
        <w:lastRenderedPageBreak/>
        <w:t>Bylos aplinkybės</w:t>
      </w:r>
    </w:p>
    <w:p w14:paraId="554C8176" w14:textId="77777777" w:rsidR="0070684E" w:rsidRPr="0069032F" w:rsidRDefault="0070684E" w:rsidP="0070684E">
      <w:pPr>
        <w:pStyle w:val="c02alineaalta"/>
        <w:spacing w:before="0" w:beforeAutospacing="0" w:after="0" w:afterAutospacing="0"/>
        <w:ind w:firstLine="567"/>
        <w:jc w:val="both"/>
        <w:rPr>
          <w:rFonts w:asciiTheme="minorHAnsi" w:hAnsiTheme="minorHAnsi" w:cstheme="minorHAnsi"/>
          <w:color w:val="000000"/>
          <w:sz w:val="22"/>
          <w:szCs w:val="22"/>
        </w:rPr>
      </w:pPr>
      <w:r w:rsidRPr="0069032F">
        <w:rPr>
          <w:rFonts w:asciiTheme="minorHAnsi" w:hAnsiTheme="minorHAnsi" w:cstheme="minorHAnsi"/>
          <w:color w:val="000000"/>
          <w:sz w:val="22"/>
          <w:szCs w:val="22"/>
        </w:rPr>
        <w:t>Siekdama supaprastinti nacionalinės biodyzelino rinkos organizavimą, Italijos Respublika vienas po kito priimtais teisės aktais numatė tris atskiras daugiametes veiksmų programas. Šioms programoms buvo gautas išankstinis Komisijos pritarimas pagal SESV 108 straipsnio 3 dalį.</w:t>
      </w:r>
    </w:p>
    <w:p w14:paraId="730F8121" w14:textId="77777777" w:rsidR="0070684E" w:rsidRPr="0069032F" w:rsidRDefault="0070684E" w:rsidP="0070684E">
      <w:pPr>
        <w:pStyle w:val="c02alineaalta"/>
        <w:spacing w:before="0" w:beforeAutospacing="0" w:after="0" w:afterAutospacing="0"/>
        <w:ind w:firstLine="567"/>
        <w:jc w:val="both"/>
        <w:rPr>
          <w:rFonts w:asciiTheme="minorHAnsi" w:hAnsiTheme="minorHAnsi" w:cstheme="minorHAnsi"/>
          <w:color w:val="000000"/>
          <w:sz w:val="22"/>
          <w:szCs w:val="22"/>
        </w:rPr>
      </w:pPr>
      <w:r w:rsidRPr="0069032F">
        <w:rPr>
          <w:rFonts w:asciiTheme="minorHAnsi" w:hAnsiTheme="minorHAnsi" w:cstheme="minorHAnsi"/>
          <w:color w:val="000000"/>
          <w:sz w:val="22"/>
          <w:szCs w:val="22"/>
        </w:rPr>
        <w:t>Consiglio di Stato (Valstybės Taryba) dviem sprendimais panaikino tam tikras šių teisės aktų nuostatas. Abi panaikintos nuostatos buvo susijusios su kriterijais, pagal kuriuos biodyzelino gamintojams turėjo būti skiriamas nuo akcizų atleidžiamo produkto kiekis. Kad įvykdytų šiuos sprendimus, ekonomikos ir finansų ministras priėmė ministro dekretą Nr. 37/2015, kuriuo performuluotos panaikintos nuostatos.</w:t>
      </w:r>
    </w:p>
    <w:p w14:paraId="34D9B318" w14:textId="77777777" w:rsidR="0070684E" w:rsidRPr="0069032F" w:rsidRDefault="0070684E" w:rsidP="0070684E">
      <w:pPr>
        <w:pStyle w:val="c02alineaalta"/>
        <w:spacing w:before="0" w:beforeAutospacing="0" w:after="0" w:afterAutospacing="0"/>
        <w:ind w:firstLine="567"/>
        <w:jc w:val="both"/>
        <w:rPr>
          <w:rFonts w:asciiTheme="minorHAnsi" w:hAnsiTheme="minorHAnsi" w:cstheme="minorHAnsi"/>
          <w:color w:val="000000"/>
          <w:sz w:val="22"/>
          <w:szCs w:val="22"/>
        </w:rPr>
      </w:pPr>
      <w:r w:rsidRPr="0069032F">
        <w:rPr>
          <w:rFonts w:asciiTheme="minorHAnsi" w:hAnsiTheme="minorHAnsi" w:cstheme="minorHAnsi"/>
          <w:color w:val="000000"/>
          <w:sz w:val="22"/>
          <w:szCs w:val="22"/>
        </w:rPr>
        <w:t>Eco Fox buvo viena iš lengvatinių biodyzelino kvotų naudos gavėjų pagal atitinkamas programas. Ji padavė skundą teismui dėl ministro dekreto Nr. 37/2015 panaikinimo ir teigė, kad šiame ministro dekrete numatyta nauja valstybės pagalba, nes ankstesnė pagalba buvo panaikinta atgaline data, arba bet kuriuo atveju buvusią pagalbą iš dalies keičianti pagalba, apie kurią, remiantis SESV 108 straipsnio 3 dalimi, turi būti iš anksto pranešta Komisijai.</w:t>
      </w:r>
    </w:p>
    <w:p w14:paraId="1EB86CF9" w14:textId="77777777" w:rsidR="0070684E" w:rsidRPr="0069032F" w:rsidRDefault="0070684E" w:rsidP="0070684E">
      <w:pPr>
        <w:pStyle w:val="c02alineaalta"/>
        <w:spacing w:before="0" w:beforeAutospacing="0" w:after="0" w:afterAutospacing="0"/>
        <w:ind w:firstLine="567"/>
        <w:jc w:val="both"/>
        <w:rPr>
          <w:rFonts w:asciiTheme="minorHAnsi" w:hAnsiTheme="minorHAnsi" w:cstheme="minorHAnsi"/>
          <w:color w:val="000000"/>
          <w:sz w:val="22"/>
          <w:szCs w:val="22"/>
        </w:rPr>
      </w:pPr>
      <w:r w:rsidRPr="0069032F">
        <w:rPr>
          <w:rFonts w:asciiTheme="minorHAnsi" w:hAnsiTheme="minorHAnsi" w:cstheme="minorHAnsi"/>
          <w:color w:val="000000"/>
          <w:sz w:val="22"/>
          <w:szCs w:val="22"/>
        </w:rPr>
        <w:t>Prašymą priimti prejudicinį sprendimą pateikęs teismas teigė, kad ministro dekretu Nr. 37/2015 buvo ne pratęsta jau numatytos pagalbos trukmė, bet iš dalies pakeisti šios pagalbos skyrimo kriterijai ir atgaline data nustatytos naujos taisyklės. Šiuo aspektu dekrete nustatyta, kad, nekeičiant istorinių duomenų, pagal kuriuos kiekvienai įmonei buvo leista dalyvauti programose ir skirtos lengvatinėmis sąlygomis apmokestinamo biodyzelino kvotos, to paties produkto kvotos 2006–2009 metams iš naujo nustatomos atsižvelgiant į atitinkamai to ministro dekreto 1 ir 2 straipsniuose nurodytus kriterijus.</w:t>
      </w:r>
    </w:p>
    <w:p w14:paraId="24394A5A" w14:textId="77777777" w:rsidR="0070684E" w:rsidRPr="0069032F" w:rsidRDefault="0070684E" w:rsidP="0070684E">
      <w:pPr>
        <w:pStyle w:val="c02alineaalta"/>
        <w:spacing w:before="0" w:beforeAutospacing="0" w:after="0" w:afterAutospacing="0"/>
        <w:ind w:firstLine="567"/>
        <w:jc w:val="both"/>
        <w:rPr>
          <w:rFonts w:asciiTheme="minorHAnsi" w:hAnsiTheme="minorHAnsi" w:cstheme="minorHAnsi"/>
          <w:color w:val="000000"/>
          <w:sz w:val="22"/>
          <w:szCs w:val="22"/>
        </w:rPr>
      </w:pPr>
    </w:p>
    <w:p w14:paraId="44E61385" w14:textId="77777777" w:rsidR="0070684E" w:rsidRPr="0069032F" w:rsidRDefault="0070684E" w:rsidP="0070684E">
      <w:pPr>
        <w:pStyle w:val="c02alineaalta"/>
        <w:spacing w:before="0" w:beforeAutospacing="0" w:after="0" w:afterAutospacing="0"/>
        <w:jc w:val="center"/>
        <w:rPr>
          <w:rFonts w:asciiTheme="minorHAnsi" w:hAnsiTheme="minorHAnsi" w:cstheme="minorHAnsi"/>
          <w:b/>
          <w:bCs/>
          <w:color w:val="000000"/>
          <w:sz w:val="22"/>
          <w:szCs w:val="22"/>
        </w:rPr>
      </w:pPr>
      <w:r w:rsidRPr="0069032F">
        <w:rPr>
          <w:rFonts w:asciiTheme="minorHAnsi" w:hAnsiTheme="minorHAnsi" w:cstheme="minorHAnsi"/>
          <w:b/>
          <w:bCs/>
          <w:color w:val="000000"/>
          <w:sz w:val="22"/>
          <w:szCs w:val="22"/>
        </w:rPr>
        <w:t>Teisingumo Teismo vertinimas</w:t>
      </w:r>
    </w:p>
    <w:p w14:paraId="4987B154" w14:textId="77777777" w:rsidR="0070684E" w:rsidRPr="0069032F" w:rsidRDefault="0070684E" w:rsidP="0070684E">
      <w:pPr>
        <w:pStyle w:val="c02alineaalta"/>
        <w:spacing w:before="0" w:beforeAutospacing="0" w:after="0" w:afterAutospacing="0"/>
        <w:jc w:val="center"/>
        <w:rPr>
          <w:rFonts w:asciiTheme="minorHAnsi" w:hAnsiTheme="minorHAnsi" w:cstheme="minorHAnsi"/>
          <w:color w:val="000000"/>
          <w:sz w:val="22"/>
          <w:szCs w:val="22"/>
        </w:rPr>
      </w:pPr>
    </w:p>
    <w:p w14:paraId="75AABF73" w14:textId="3FC2EF17" w:rsidR="0070684E" w:rsidRPr="005A16AD" w:rsidRDefault="0070684E" w:rsidP="005A16AD">
      <w:pPr>
        <w:pStyle w:val="Antrat3"/>
        <w:tabs>
          <w:tab w:val="clear" w:pos="567"/>
          <w:tab w:val="left" w:pos="426"/>
        </w:tabs>
        <w:ind w:firstLine="567"/>
      </w:pPr>
      <w:bookmarkStart w:id="53" w:name="_Toc105161259"/>
      <w:r w:rsidRPr="005A16AD">
        <w:t xml:space="preserve">Dėl </w:t>
      </w:r>
      <w:r w:rsidR="00427DDC" w:rsidRPr="005A16AD">
        <w:t>esamos pagalbos pakeitimo kriterijų</w:t>
      </w:r>
      <w:bookmarkEnd w:id="53"/>
    </w:p>
    <w:p w14:paraId="327F9A1C" w14:textId="77777777" w:rsidR="0070684E" w:rsidRPr="0069032F" w:rsidRDefault="0070684E" w:rsidP="0070684E">
      <w:pPr>
        <w:pStyle w:val="c02alineaalta"/>
        <w:spacing w:before="0" w:beforeAutospacing="0" w:after="0" w:afterAutospacing="0"/>
        <w:ind w:firstLine="567"/>
        <w:jc w:val="both"/>
        <w:rPr>
          <w:rFonts w:asciiTheme="minorHAnsi" w:hAnsiTheme="minorHAnsi" w:cstheme="minorHAnsi"/>
          <w:color w:val="000000"/>
          <w:sz w:val="22"/>
          <w:szCs w:val="22"/>
        </w:rPr>
      </w:pPr>
    </w:p>
    <w:p w14:paraId="6447FD69" w14:textId="77777777" w:rsidR="0070684E" w:rsidRPr="0069032F" w:rsidRDefault="0070684E" w:rsidP="0070684E">
      <w:pPr>
        <w:pStyle w:val="c02alineaalta"/>
        <w:spacing w:before="0" w:beforeAutospacing="0" w:after="0" w:afterAutospacing="0"/>
        <w:ind w:firstLine="567"/>
        <w:jc w:val="both"/>
        <w:rPr>
          <w:rFonts w:asciiTheme="minorHAnsi" w:hAnsiTheme="minorHAnsi" w:cstheme="minorHAnsi"/>
          <w:color w:val="000000"/>
          <w:sz w:val="22"/>
          <w:szCs w:val="22"/>
        </w:rPr>
      </w:pPr>
      <w:r w:rsidRPr="0069032F">
        <w:rPr>
          <w:rFonts w:asciiTheme="minorHAnsi" w:hAnsiTheme="minorHAnsi" w:cstheme="minorHAnsi"/>
          <w:color w:val="000000"/>
          <w:sz w:val="22"/>
          <w:szCs w:val="22"/>
        </w:rPr>
        <w:t>SESV 108 straipsnio 3 dalyje numatyta, kad apie planus suteikti naują pagalbą ar pakeisti esamą pagalbą Komisija turi būti laiku informuota ir šie planai negali būti įgyvendinti, kol procedūroje nepriimtas galutinis sprendimas. Bylos atveju nagrinėjama pagalbos schema patenka į sąvoką „esama pagalba“. Reglamento Nr. 659/1999</w:t>
      </w:r>
      <w:r w:rsidRPr="0069032F">
        <w:rPr>
          <w:rStyle w:val="Puslapioinaosnuoroda"/>
          <w:rFonts w:asciiTheme="minorHAnsi" w:hAnsiTheme="minorHAnsi" w:cstheme="minorHAnsi"/>
          <w:color w:val="000000"/>
          <w:sz w:val="22"/>
          <w:szCs w:val="22"/>
        </w:rPr>
        <w:footnoteReference w:id="18"/>
      </w:r>
      <w:r w:rsidRPr="0069032F">
        <w:rPr>
          <w:rFonts w:asciiTheme="minorHAnsi" w:hAnsiTheme="minorHAnsi" w:cstheme="minorHAnsi"/>
          <w:color w:val="000000"/>
          <w:sz w:val="22"/>
          <w:szCs w:val="22"/>
        </w:rPr>
        <w:t xml:space="preserve"> 1 straipsnio c punkte sąvoka „nauja pagalba“ apibrėžta kaip „visa pagalba, t. y. pagalbos sistemos schemos ir individuali pagalba, kuri nėra egzistuojanti (esama) pagalba, įskaitant egzistuojančios (esamos) pagalbos pakeitimus“. Reglamento Nr. 794/2004</w:t>
      </w:r>
      <w:r w:rsidRPr="0069032F">
        <w:rPr>
          <w:rStyle w:val="Puslapioinaosnuoroda"/>
          <w:rFonts w:asciiTheme="minorHAnsi" w:hAnsiTheme="minorHAnsi" w:cstheme="minorHAnsi"/>
          <w:color w:val="000000"/>
          <w:sz w:val="22"/>
          <w:szCs w:val="22"/>
        </w:rPr>
        <w:footnoteReference w:id="19"/>
      </w:r>
      <w:r w:rsidRPr="0069032F">
        <w:rPr>
          <w:rFonts w:asciiTheme="minorHAnsi" w:hAnsiTheme="minorHAnsi" w:cstheme="minorHAnsi"/>
          <w:color w:val="000000"/>
          <w:sz w:val="22"/>
          <w:szCs w:val="22"/>
        </w:rPr>
        <w:t xml:space="preserve"> 4 straipsnio 1 dalies pirmame sakinyje nurodyta, kad Reglamento Nr. 659/1999 1 straipsnio c punkte taikomos pagalbos pakeitimai – tai visi pakeitimai, išskyrus grynai formalaus ir administracinio pobūdžio pakeitimus, kurie negali turėti įtakos pagalbos priemonės atitikimui vidaus rinkos reikalavimams. Pagal ankstesnę Teisingumo Teismo jurisprudenciją, siekiant nustatyti, ar nagrinėjamu nacionalinės teisės aktu padarytas pagalbos schemos pakeitimas, kuris gali turėti įtakos jos suderinamumo su vidaus rinka vertinimui, reikia atsižvelgti tiek į šio pakeitimo pobūdį ir apimtį, tiek į Komisijos sprendimus dėl patvirtinimo, susijusius su ankstesnėmis šios schemos redakcijomis.</w:t>
      </w:r>
    </w:p>
    <w:p w14:paraId="38D18BCC" w14:textId="77777777" w:rsidR="0070684E" w:rsidRPr="0069032F" w:rsidRDefault="0070684E" w:rsidP="0070684E">
      <w:pPr>
        <w:pStyle w:val="c02alineaalta"/>
        <w:spacing w:before="0" w:beforeAutospacing="0" w:after="0" w:afterAutospacing="0"/>
        <w:ind w:firstLine="567"/>
        <w:jc w:val="both"/>
        <w:rPr>
          <w:rFonts w:asciiTheme="minorHAnsi" w:hAnsiTheme="minorHAnsi" w:cstheme="minorHAnsi"/>
          <w:color w:val="000000"/>
          <w:sz w:val="22"/>
          <w:szCs w:val="22"/>
        </w:rPr>
      </w:pPr>
      <w:r w:rsidRPr="0069032F">
        <w:rPr>
          <w:rFonts w:asciiTheme="minorHAnsi" w:hAnsiTheme="minorHAnsi" w:cstheme="minorHAnsi"/>
          <w:color w:val="000000"/>
          <w:sz w:val="22"/>
          <w:szCs w:val="22"/>
        </w:rPr>
        <w:t>Dėl nagrinėjamo pakeitimo pobūdžio ir apimties Teisingumo Teismas pažymėjo, kad nacionalinės teisės aktu atgaline data pakeisti biodyzelino kiekio, kuriam už 2006–2009 finansinius metus taikomas lengvatinis akcizo tarifas, skyrimo pagal šią schemą pagalbą gaunančioms įmonėms kriterijai. Pagal naują teisinį reguliavimą atitinkamos įmonės ankstesnės gamybos ir gamybos pajėgumų kriterijai koreguojami taikant tą patį koeficientą, t. y. 0,5 dėl kiekvieno kriterijaus. Taigi nacionalinės teisės aktu nedaromas poveikis nei pagalbos gavėjų, kuriems anksčiau buvo leista pasinaudoti lengvatų schema, ratui, nei Komisijos patvirtintos pagalbos schemos biudžetui ir nepratęsiama šios schemos trukmė. Be to, nedaromas poveikis nei produkto, kuriam taikomas lengvatinis akcizo tarifas, apibrėžčiai, nei pačiam šiam tarifui.</w:t>
      </w:r>
    </w:p>
    <w:p w14:paraId="59ECE51A" w14:textId="504C163C" w:rsidR="0070684E" w:rsidRPr="0069032F" w:rsidRDefault="0070684E" w:rsidP="0070684E">
      <w:pPr>
        <w:pStyle w:val="c02alineaalta"/>
        <w:spacing w:before="0" w:beforeAutospacing="0" w:after="0" w:afterAutospacing="0"/>
        <w:ind w:firstLine="567"/>
        <w:jc w:val="both"/>
        <w:rPr>
          <w:rFonts w:asciiTheme="minorHAnsi" w:hAnsiTheme="minorHAnsi" w:cstheme="minorHAnsi"/>
          <w:color w:val="000000"/>
          <w:sz w:val="22"/>
          <w:szCs w:val="22"/>
        </w:rPr>
      </w:pPr>
      <w:r w:rsidRPr="0069032F">
        <w:rPr>
          <w:rFonts w:asciiTheme="minorHAnsi" w:hAnsiTheme="minorHAnsi" w:cstheme="minorHAnsi"/>
          <w:color w:val="000000"/>
          <w:sz w:val="22"/>
          <w:szCs w:val="22"/>
        </w:rPr>
        <w:t xml:space="preserve">Dėl atitinkamų Komisijos sprendimų dėl pagalbos schemos patvirtinimo Teisingumo Teismas pažymėjo, kad iš atitinkamų </w:t>
      </w:r>
      <w:r w:rsidR="00427DDC">
        <w:rPr>
          <w:rFonts w:asciiTheme="minorHAnsi" w:hAnsiTheme="minorHAnsi" w:cstheme="minorHAnsi"/>
          <w:color w:val="000000"/>
          <w:sz w:val="22"/>
          <w:szCs w:val="22"/>
        </w:rPr>
        <w:t xml:space="preserve">Komisijos </w:t>
      </w:r>
      <w:r w:rsidRPr="0069032F">
        <w:rPr>
          <w:rFonts w:asciiTheme="minorHAnsi" w:hAnsiTheme="minorHAnsi" w:cstheme="minorHAnsi"/>
          <w:color w:val="000000"/>
          <w:sz w:val="22"/>
          <w:szCs w:val="22"/>
        </w:rPr>
        <w:t xml:space="preserve">sprendimų dėl patvirtinimo matyti, jog produkto kiekio, kuriam </w:t>
      </w:r>
      <w:r w:rsidRPr="0069032F">
        <w:rPr>
          <w:rFonts w:asciiTheme="minorHAnsi" w:hAnsiTheme="minorHAnsi" w:cstheme="minorHAnsi"/>
          <w:color w:val="000000"/>
          <w:sz w:val="22"/>
          <w:szCs w:val="22"/>
        </w:rPr>
        <w:lastRenderedPageBreak/>
        <w:t>taikomas lengvatinis akcizo tarifas, skyrimo pagal šią schemą pagalbą gaunančioms įmonėms kriterijai nėra aplinkybė, kuria remdamasi Komisija patvirtino ankstesnes pagrindinėse bylose nagrinėjamos pagalbos schemos redakcijas. Kalbant konkrečiai, nors neginčijama, kad Komisijai buvo pranešta apie biodyzelino kiekio, kuriam taikoma lengvatinė apmokestinimo tvarka, skyrimo kriterijus, bent jau pranešant apie pakeitimus, dėl kurių priimtas Komisijos 2008 m. sprendimas dėl patvirtinimo, šie kriterijai nebuvo aiškiai išnagrinėti nė viename iš atitinkamų sprendimų dėl patvirtinimo. Akcentuota, kad iš bylos medžiagos nematyti, jog kriterijų pakeitimai gali daryti įtaką kokiam nors Komisijos sprendimuose dėl patvirtinimo</w:t>
      </w:r>
      <w:r w:rsidR="00E0354B">
        <w:rPr>
          <w:rFonts w:asciiTheme="minorHAnsi" w:hAnsiTheme="minorHAnsi" w:cstheme="minorHAnsi"/>
          <w:color w:val="000000"/>
          <w:sz w:val="22"/>
          <w:szCs w:val="22"/>
        </w:rPr>
        <w:t xml:space="preserve"> </w:t>
      </w:r>
      <w:r w:rsidRPr="0069032F">
        <w:rPr>
          <w:rFonts w:asciiTheme="minorHAnsi" w:hAnsiTheme="minorHAnsi" w:cstheme="minorHAnsi"/>
          <w:color w:val="000000"/>
          <w:sz w:val="22"/>
          <w:szCs w:val="22"/>
        </w:rPr>
        <w:t xml:space="preserve">pateiktų vertinimų aspektui. Be to, </w:t>
      </w:r>
      <w:r w:rsidRPr="00427DDC">
        <w:rPr>
          <w:rFonts w:asciiTheme="minorHAnsi" w:hAnsiTheme="minorHAnsi" w:cstheme="minorHAnsi"/>
          <w:color w:val="000000"/>
          <w:sz w:val="22"/>
          <w:szCs w:val="22"/>
          <w:u w:val="single"/>
        </w:rPr>
        <w:t>vien tai, kad atitinkama valstybė narė praneša Komisijai apie nacionalinės teisės akto projektą, kuriame numatyta pagalbos schema, apie kurią pranešta Komisijai, visiškai nereiškia, kad visos šio projekto dalys turi būti laikomos esminėmis, jei, kaip šiuo atveju, po šio pranešimo priimamas sprendimas, kuriuo Komisija patvirtina atitinkamą pagalbos schemą</w:t>
      </w:r>
      <w:r w:rsidRPr="0069032F">
        <w:rPr>
          <w:rFonts w:asciiTheme="minorHAnsi" w:hAnsiTheme="minorHAnsi" w:cstheme="minorHAnsi"/>
          <w:color w:val="000000"/>
          <w:sz w:val="22"/>
          <w:szCs w:val="22"/>
        </w:rPr>
        <w:t xml:space="preserve">. Iš tiesų sąvoka </w:t>
      </w:r>
      <w:r w:rsidRPr="00427DDC">
        <w:rPr>
          <w:rFonts w:asciiTheme="minorHAnsi" w:hAnsiTheme="minorHAnsi" w:cstheme="minorHAnsi"/>
          <w:color w:val="000000"/>
          <w:sz w:val="22"/>
          <w:szCs w:val="22"/>
          <w:u w:val="single"/>
        </w:rPr>
        <w:t>„esamos pagalbos pakeitimas“ apima ne visus esamos pagalbos pakeitimus, o tik tuos, kuriais daroma įtaka šios pagalbos suderinamumo su vidaus rinka vertinimui</w:t>
      </w:r>
      <w:r w:rsidRPr="0069032F">
        <w:rPr>
          <w:rFonts w:asciiTheme="minorHAnsi" w:hAnsiTheme="minorHAnsi" w:cstheme="minorHAnsi"/>
          <w:color w:val="000000"/>
          <w:sz w:val="22"/>
          <w:szCs w:val="22"/>
        </w:rPr>
        <w:t xml:space="preserve">. Teisingumo Teismo turima informacija neįrodo, kad pakeitimu buvo paneigtas atitinkamos pagalbos schemos tikslas sumažinti biodyzelino ir jo mišinio gamintojų patiriamas išlaidas arba atitinkamai Komisijos atliktas vertinimas, pagal kurį tiek pradinės redakcijos, tiek pakeistų redakcijų pagalbos schema, kaip priemonė, kuria skatinama atsinaujinančioji energija, taigi, ir aplinkos apsauga, buvo ir tebėra suderinama su Sąjungos teise. Taigi </w:t>
      </w:r>
      <w:r w:rsidRPr="00427DDC">
        <w:rPr>
          <w:rFonts w:asciiTheme="minorHAnsi" w:hAnsiTheme="minorHAnsi" w:cstheme="minorHAnsi"/>
          <w:color w:val="000000"/>
          <w:sz w:val="22"/>
          <w:szCs w:val="22"/>
          <w:u w:val="single"/>
        </w:rPr>
        <w:t>skiriamos pagalbos paskirstymo kriterijų pakeitimas nepadarė poveikio schemos elementams, kaip atitinkamuose sprendimuose dėl patvirtinimo juos vertino Komisija, tikrindama minėtos schemos suderinamumą su vidaus rinka, todėl šis pakeitimas nėra „esamos pagalbos pakeitimas“</w:t>
      </w:r>
      <w:r w:rsidRPr="0069032F">
        <w:rPr>
          <w:rFonts w:asciiTheme="minorHAnsi" w:hAnsiTheme="minorHAnsi" w:cstheme="minorHAnsi"/>
          <w:color w:val="000000"/>
          <w:sz w:val="22"/>
          <w:szCs w:val="22"/>
        </w:rPr>
        <w:t>, kaip tai suprantama pagal Reglamento Nr. 659/1999 1 straipsnio c punktą ir Reglamento Nr. 794/2004 4 straipsnio 1 dalies pirmą sakinį, vadinasi, ir ne „nauja pagalba“, kuriai taikoma SESV 108 straipsnio 3 dalyje numatyta pareiga pranešti. Daryta išvada, kad jo įgyvendinimas negali būti laikomas neteisėtu vien dėl to, kad apie jį iš anksto nebuvo pranešta Komisijai.</w:t>
      </w:r>
    </w:p>
    <w:p w14:paraId="701E0809" w14:textId="77777777" w:rsidR="0070684E" w:rsidRPr="0069032F" w:rsidRDefault="0070684E" w:rsidP="0070684E">
      <w:pPr>
        <w:pStyle w:val="c02alineaalta"/>
        <w:spacing w:before="0" w:beforeAutospacing="0" w:after="0" w:afterAutospacing="0"/>
        <w:ind w:firstLine="567"/>
        <w:jc w:val="both"/>
        <w:rPr>
          <w:rFonts w:asciiTheme="minorHAnsi" w:hAnsiTheme="minorHAnsi" w:cstheme="minorHAnsi"/>
          <w:color w:val="000000"/>
          <w:sz w:val="22"/>
          <w:szCs w:val="22"/>
        </w:rPr>
      </w:pPr>
      <w:r w:rsidRPr="0069032F">
        <w:rPr>
          <w:rFonts w:asciiTheme="minorHAnsi" w:hAnsiTheme="minorHAnsi" w:cstheme="minorHAnsi"/>
          <w:color w:val="000000"/>
          <w:sz w:val="22"/>
          <w:szCs w:val="22"/>
        </w:rPr>
        <w:t xml:space="preserve">Atsižvelgdamas į visa tai, kas išdėstyta, Teisingumo Teismas konstatavo, kad SESV 107 ir 108 straipsniai bei reglamentų Nr. 659/1999 ir 794/2004 nuostatos turi būti aiškinami taip, kad </w:t>
      </w:r>
      <w:r w:rsidRPr="0069032F">
        <w:rPr>
          <w:rFonts w:asciiTheme="minorHAnsi" w:hAnsiTheme="minorHAnsi" w:cstheme="minorHAnsi"/>
          <w:color w:val="000000"/>
          <w:sz w:val="22"/>
          <w:szCs w:val="22"/>
          <w:u w:val="single"/>
        </w:rPr>
        <w:t>Komisijos patvirtintos lengvatinės biodyzelino apmokestinimo tvarkos pakeitimas neturi būti laikomas nauja pagalba, kuriai taikoma pareiga pranešti pagal SESV 108 straipsnio 3 dalį, kai šiuo pakeitimu atgaline data keičiami biodyzelino kvotų, kurioms pagal šią tvarką taikomas sumažintas akcizo tarifas, skyrimo kriterijai, jeigu minėtas pakeitimas nedaro poveikio atitinkamos pagalbos schemos elementams, kaip juos vertino Komisija, tikrindama ankstesnių tos schemos redakcijų suderinamumą su vidaus rinka</w:t>
      </w:r>
      <w:r w:rsidRPr="0069032F">
        <w:rPr>
          <w:rFonts w:asciiTheme="minorHAnsi" w:hAnsiTheme="minorHAnsi" w:cstheme="minorHAnsi"/>
          <w:color w:val="000000"/>
          <w:sz w:val="22"/>
          <w:szCs w:val="22"/>
        </w:rPr>
        <w:t>.</w:t>
      </w:r>
    </w:p>
    <w:p w14:paraId="4B272932" w14:textId="4F54A343" w:rsidR="0070684E" w:rsidRPr="0069032F" w:rsidRDefault="004D029A" w:rsidP="0070684E">
      <w:pPr>
        <w:pStyle w:val="c02alineaalta"/>
        <w:spacing w:before="0" w:beforeAutospacing="0" w:after="0" w:afterAutospacing="0"/>
        <w:ind w:firstLine="567"/>
        <w:jc w:val="both"/>
        <w:rPr>
          <w:rFonts w:asciiTheme="minorHAnsi" w:hAnsiTheme="minorHAnsi" w:cstheme="minorHAnsi"/>
          <w:color w:val="000000"/>
          <w:sz w:val="22"/>
          <w:szCs w:val="22"/>
        </w:rPr>
      </w:pPr>
      <w:hyperlink r:id="rId24" w:history="1">
        <w:r w:rsidR="0070684E" w:rsidRPr="0069032F">
          <w:rPr>
            <w:rStyle w:val="Hipersaitas"/>
            <w:rFonts w:asciiTheme="minorHAnsi" w:hAnsiTheme="minorHAnsi" w:cstheme="minorHAnsi"/>
            <w:sz w:val="22"/>
            <w:szCs w:val="22"/>
          </w:rPr>
          <w:t>Prieiga internete</w:t>
        </w:r>
      </w:hyperlink>
    </w:p>
    <w:p w14:paraId="4D99231F" w14:textId="031128B4" w:rsidR="0070684E" w:rsidRPr="0069032F" w:rsidRDefault="0070684E" w:rsidP="00C8171C">
      <w:pPr>
        <w:ind w:firstLine="567"/>
        <w:jc w:val="center"/>
        <w:rPr>
          <w:rFonts w:asciiTheme="minorHAnsi" w:hAnsiTheme="minorHAnsi" w:cstheme="minorHAnsi"/>
          <w:b/>
          <w:bCs/>
          <w:color w:val="002060"/>
        </w:rPr>
      </w:pPr>
    </w:p>
    <w:p w14:paraId="642D2AEB" w14:textId="77777777" w:rsidR="0069032F" w:rsidRPr="00917B14" w:rsidRDefault="0069032F" w:rsidP="005A16AD">
      <w:pPr>
        <w:pStyle w:val="Antrat1"/>
      </w:pPr>
      <w:bookmarkStart w:id="54" w:name="_Toc105161260"/>
      <w:r w:rsidRPr="00917B14">
        <w:t>BENDRA ŽEMĖS ŪKIO POLITIKA</w:t>
      </w:r>
      <w:bookmarkEnd w:id="54"/>
      <w:r w:rsidRPr="00917B14">
        <w:t xml:space="preserve"> </w:t>
      </w:r>
    </w:p>
    <w:p w14:paraId="33D4692A" w14:textId="77777777" w:rsidR="0069032F" w:rsidRPr="00917B14" w:rsidRDefault="0069032F" w:rsidP="0069032F">
      <w:pPr>
        <w:pStyle w:val="Betarp"/>
        <w:jc w:val="center"/>
        <w:rPr>
          <w:rFonts w:asciiTheme="minorHAnsi" w:hAnsiTheme="minorHAnsi" w:cstheme="minorHAnsi"/>
          <w:b/>
          <w:bCs/>
          <w:color w:val="002060"/>
          <w:sz w:val="22"/>
          <w:lang w:val="lt-LT"/>
        </w:rPr>
      </w:pPr>
    </w:p>
    <w:p w14:paraId="76D34A65" w14:textId="70C0143D" w:rsidR="0069032F" w:rsidRPr="00917B14" w:rsidRDefault="0069032F" w:rsidP="005A16AD">
      <w:pPr>
        <w:pStyle w:val="Antrat1"/>
      </w:pPr>
      <w:bookmarkStart w:id="55" w:name="_Toc105161261"/>
      <w:r w:rsidRPr="00917B14">
        <w:t xml:space="preserve">2021 m. spalio 6 d. sprendimas byloje </w:t>
      </w:r>
      <w:r w:rsidRPr="00252DD3">
        <w:rPr>
          <w:i/>
          <w:iCs/>
        </w:rPr>
        <w:t>Lauku atbalsta dienests (Aides au démarrage d’entreprises agricoles)</w:t>
      </w:r>
      <w:r w:rsidR="005A16AD">
        <w:t xml:space="preserve">, </w:t>
      </w:r>
      <w:r w:rsidRPr="00917B14">
        <w:t>C-119/2020</w:t>
      </w:r>
      <w:bookmarkEnd w:id="55"/>
    </w:p>
    <w:p w14:paraId="22D9F23D" w14:textId="77777777" w:rsidR="0069032F" w:rsidRPr="0069032F" w:rsidRDefault="0069032F" w:rsidP="0069032F">
      <w:pPr>
        <w:pStyle w:val="Betarp"/>
        <w:jc w:val="both"/>
        <w:rPr>
          <w:rFonts w:asciiTheme="minorHAnsi" w:hAnsiTheme="minorHAnsi" w:cstheme="minorHAnsi"/>
          <w:b/>
          <w:bCs/>
          <w:sz w:val="22"/>
          <w:u w:val="single"/>
          <w:lang w:val="lt-LT"/>
        </w:rPr>
      </w:pPr>
    </w:p>
    <w:p w14:paraId="1E2ED738" w14:textId="77777777" w:rsidR="0069032F" w:rsidRPr="0069032F" w:rsidRDefault="0069032F" w:rsidP="0069032F">
      <w:pPr>
        <w:pStyle w:val="Betarp"/>
        <w:ind w:firstLine="567"/>
        <w:jc w:val="both"/>
        <w:rPr>
          <w:rFonts w:asciiTheme="minorHAnsi" w:hAnsiTheme="minorHAnsi" w:cstheme="minorHAnsi"/>
          <w:sz w:val="22"/>
          <w:lang w:val="lt-LT"/>
        </w:rPr>
      </w:pPr>
      <w:r w:rsidRPr="0069032F">
        <w:rPr>
          <w:rFonts w:asciiTheme="minorHAnsi" w:hAnsiTheme="minorHAnsi" w:cstheme="minorHAnsi"/>
          <w:sz w:val="22"/>
          <w:lang w:val="lt-LT"/>
        </w:rPr>
        <w:t xml:space="preserve">Bendra žemės ūkio politika – Finansavimas Europos žemės ūkio fondo kaimo plėtrai (EŽŪFKP) lėšomis – 2014–2020 m. nacionalinė kaimo plėtros programa – Reglamentas (ES) Nr. 1305/2013 – 19 straipsnio 1 dalies a punktas – Parama jauniesiems ūkininkams, pradedantiems verslą – Parama smulkių ūkių plėtrai – Pagalbos priemonių sumavimas – Galimybė atsisakyti sumavimo </w:t>
      </w:r>
    </w:p>
    <w:p w14:paraId="060336A5" w14:textId="77777777" w:rsidR="0069032F" w:rsidRPr="00427DDC" w:rsidRDefault="0069032F" w:rsidP="0069032F">
      <w:pPr>
        <w:pStyle w:val="Betarp"/>
        <w:ind w:firstLine="709"/>
        <w:jc w:val="both"/>
        <w:rPr>
          <w:rFonts w:asciiTheme="minorHAnsi" w:hAnsiTheme="minorHAnsi" w:cstheme="minorHAnsi"/>
          <w:sz w:val="22"/>
        </w:rPr>
      </w:pPr>
    </w:p>
    <w:p w14:paraId="44540D5E" w14:textId="77777777" w:rsidR="0069032F" w:rsidRPr="0069032F" w:rsidRDefault="0069032F" w:rsidP="0069032F">
      <w:pPr>
        <w:pStyle w:val="Betarp"/>
        <w:jc w:val="center"/>
        <w:rPr>
          <w:rFonts w:asciiTheme="minorHAnsi" w:hAnsiTheme="minorHAnsi" w:cstheme="minorHAnsi"/>
          <w:b/>
          <w:sz w:val="22"/>
          <w:lang w:val="lt-LT"/>
        </w:rPr>
      </w:pPr>
      <w:r w:rsidRPr="0069032F">
        <w:rPr>
          <w:rFonts w:asciiTheme="minorHAnsi" w:hAnsiTheme="minorHAnsi" w:cstheme="minorHAnsi"/>
          <w:b/>
          <w:sz w:val="22"/>
          <w:lang w:val="lt-LT"/>
        </w:rPr>
        <w:t>Bylos aplinkybės</w:t>
      </w:r>
    </w:p>
    <w:p w14:paraId="6791962E" w14:textId="77777777" w:rsidR="0069032F" w:rsidRPr="0069032F" w:rsidRDefault="0069032F" w:rsidP="0069032F">
      <w:pPr>
        <w:pStyle w:val="Betarp"/>
        <w:jc w:val="center"/>
        <w:rPr>
          <w:rFonts w:asciiTheme="minorHAnsi" w:hAnsiTheme="minorHAnsi" w:cstheme="minorHAnsi"/>
          <w:sz w:val="22"/>
          <w:lang w:val="lt-LT"/>
        </w:rPr>
      </w:pPr>
    </w:p>
    <w:p w14:paraId="573B440B" w14:textId="77777777" w:rsidR="0069032F" w:rsidRPr="0069032F" w:rsidRDefault="0069032F" w:rsidP="0069032F">
      <w:pPr>
        <w:pStyle w:val="Betarp"/>
        <w:ind w:firstLine="567"/>
        <w:jc w:val="both"/>
        <w:rPr>
          <w:rFonts w:asciiTheme="minorHAnsi" w:hAnsiTheme="minorHAnsi" w:cstheme="minorHAnsi"/>
          <w:sz w:val="22"/>
          <w:lang w:val="lt-LT"/>
        </w:rPr>
      </w:pPr>
      <w:r w:rsidRPr="0069032F">
        <w:rPr>
          <w:rFonts w:asciiTheme="minorHAnsi" w:hAnsiTheme="minorHAnsi" w:cstheme="minorHAnsi"/>
          <w:sz w:val="22"/>
          <w:lang w:val="lt-LT"/>
        </w:rPr>
        <w:t>Pareiškėja pagrindinėje byloje, žemės ūkio valdos savininkė, pateikė paraišką suteikti paramą verslui pradėti, plečiant smulkias žemės ūkio valdas; vėliau perėmusi tėvų valdytą žemės ūkio valdą, pateikė paraišką dėl paramos jauniesiems ūkininkams, pradedantiems verslą, kartu toliau vykdydama veiklą, numatytą pagal pirmąją paramos priemonę. Kaimo paramos tarnyba atmetė pareiškėjos pagrindinėje byloje paraiškas, nusprendusi, kad nacionalinės teisės aktai neleidžia iš pradžių prašyti paramos smulkių ūkių plėtrai, o vėliau – paramos jauniesiems ūkininkams.</w:t>
      </w:r>
    </w:p>
    <w:p w14:paraId="17AE31F7" w14:textId="76CE72BE" w:rsidR="0069032F" w:rsidRPr="0069032F" w:rsidRDefault="0069032F" w:rsidP="0069032F">
      <w:pPr>
        <w:pStyle w:val="Betarp"/>
        <w:ind w:firstLine="567"/>
        <w:jc w:val="both"/>
        <w:rPr>
          <w:rFonts w:asciiTheme="minorHAnsi" w:hAnsiTheme="minorHAnsi" w:cstheme="minorHAnsi"/>
          <w:sz w:val="22"/>
          <w:lang w:val="lt-LT"/>
        </w:rPr>
      </w:pPr>
      <w:r w:rsidRPr="0069032F">
        <w:rPr>
          <w:rFonts w:asciiTheme="minorHAnsi" w:hAnsiTheme="minorHAnsi" w:cstheme="minorHAnsi"/>
          <w:sz w:val="22"/>
          <w:lang w:val="lt-LT"/>
        </w:rPr>
        <w:lastRenderedPageBreak/>
        <w:t>Teismui, į kurį kreipėsi pareiškėja pagrindinėje byloje, kilo klausimas dėl nacionalinės teisės aktų, pagal kuriuos draudžiama mokėti Reglamento Nr. 1305/2013</w:t>
      </w:r>
      <w:r w:rsidRPr="0069032F">
        <w:rPr>
          <w:rStyle w:val="Puslapioinaosnuoroda"/>
          <w:rFonts w:asciiTheme="minorHAnsi" w:hAnsiTheme="minorHAnsi" w:cstheme="minorHAnsi"/>
          <w:sz w:val="22"/>
          <w:lang w:val="lt-LT"/>
        </w:rPr>
        <w:footnoteReference w:id="20"/>
      </w:r>
      <w:r w:rsidRPr="0069032F">
        <w:rPr>
          <w:rFonts w:asciiTheme="minorHAnsi" w:hAnsiTheme="minorHAnsi" w:cstheme="minorHAnsi"/>
          <w:sz w:val="22"/>
          <w:lang w:val="lt-LT"/>
        </w:rPr>
        <w:t xml:space="preserve"> 19 straipsnio 1 dalies a punkto i papunktyje nurodytą paramą ūkininkui, jau gavusiam paramą pagal šios 1 dalies a punkto iii papunktį, atitikties Sąjungos teisei. Todėl kreiptasi į ESTT, teiraujantis, ar Reglamento Nr. 1305/2013 19 straipsnio 1 dalies a</w:t>
      </w:r>
      <w:r w:rsidR="009E1656">
        <w:rPr>
          <w:rFonts w:asciiTheme="minorHAnsi" w:hAnsiTheme="minorHAnsi" w:cstheme="minorHAnsi"/>
          <w:sz w:val="22"/>
          <w:lang w:val="lt-LT"/>
        </w:rPr>
        <w:t> </w:t>
      </w:r>
      <w:r w:rsidRPr="0069032F">
        <w:rPr>
          <w:rFonts w:asciiTheme="minorHAnsi" w:hAnsiTheme="minorHAnsi" w:cstheme="minorHAnsi"/>
          <w:sz w:val="22"/>
          <w:lang w:val="lt-LT"/>
        </w:rPr>
        <w:t xml:space="preserve">punktą kartu su kitomis šio reglamento ir Europos Sąjungos valstybės pagalbos žemės ūkio ir miškininkystės sektoriams ir kaimo vietovėse gairių 2014–2020 m. nuostatomis reikia aiškinti taip, kad: 1) ūkininkas praranda „jaunojo ūkininko“ statusą vien dėl to, kad dvejais metais anksčiau gavo paramą smulkių ūkių plėtrai, numatytą Reglamento Nr. 1305/2013 19 straipsnio 1 dalies a punkto iii papunktyje; 2) valstybei narei leidžiama nustatyti teisės normą, pagal kurią ūkininkui nemokama to reglamento 19 straipsnio 1 dalies a punkto i papunktyje numatyta parama, jeigu jam jau buvo suteikta pagal tos pačios nuostatos iii papunktį numatyta parama; 3) valstybė narė gali atmesti ūkininko paraišką dėl priemonių sumavimo, jeigu nesilaikoma Europos Komisijos Kaimo plėtros programoje nustatytos sumavimo eigos. </w:t>
      </w:r>
    </w:p>
    <w:p w14:paraId="10BF8DA6" w14:textId="77777777" w:rsidR="0069032F" w:rsidRPr="0069032F" w:rsidRDefault="0069032F" w:rsidP="0069032F">
      <w:pPr>
        <w:pStyle w:val="Betarp"/>
        <w:jc w:val="center"/>
        <w:rPr>
          <w:rFonts w:asciiTheme="minorHAnsi" w:hAnsiTheme="minorHAnsi" w:cstheme="minorHAnsi"/>
          <w:b/>
          <w:sz w:val="22"/>
          <w:lang w:val="lt-LT"/>
        </w:rPr>
      </w:pPr>
    </w:p>
    <w:p w14:paraId="1FA9E6A2" w14:textId="77777777" w:rsidR="0069032F" w:rsidRPr="0069032F" w:rsidRDefault="0069032F" w:rsidP="0069032F">
      <w:pPr>
        <w:pStyle w:val="Betarp"/>
        <w:jc w:val="center"/>
        <w:rPr>
          <w:rFonts w:asciiTheme="minorHAnsi" w:hAnsiTheme="minorHAnsi" w:cstheme="minorHAnsi"/>
          <w:b/>
          <w:sz w:val="22"/>
          <w:lang w:val="lt-LT"/>
        </w:rPr>
      </w:pPr>
      <w:r w:rsidRPr="0069032F">
        <w:rPr>
          <w:rFonts w:asciiTheme="minorHAnsi" w:hAnsiTheme="minorHAnsi" w:cstheme="minorHAnsi"/>
          <w:b/>
          <w:sz w:val="22"/>
          <w:lang w:val="lt-LT"/>
        </w:rPr>
        <w:t>Teisingumo Teismo vertinimas</w:t>
      </w:r>
    </w:p>
    <w:p w14:paraId="540199B6" w14:textId="77777777" w:rsidR="0069032F" w:rsidRPr="0069032F" w:rsidRDefault="0069032F" w:rsidP="0069032F">
      <w:pPr>
        <w:pStyle w:val="Betarp"/>
        <w:jc w:val="center"/>
        <w:rPr>
          <w:rFonts w:asciiTheme="minorHAnsi" w:hAnsiTheme="minorHAnsi" w:cstheme="minorHAnsi"/>
          <w:b/>
          <w:sz w:val="22"/>
          <w:lang w:val="lt-LT"/>
        </w:rPr>
      </w:pPr>
    </w:p>
    <w:p w14:paraId="5C72B22F" w14:textId="3B17DF6A" w:rsidR="0069032F" w:rsidRPr="005A16AD" w:rsidRDefault="0069032F" w:rsidP="005A16AD">
      <w:pPr>
        <w:pStyle w:val="Antrat3"/>
        <w:tabs>
          <w:tab w:val="clear" w:pos="567"/>
          <w:tab w:val="left" w:pos="426"/>
        </w:tabs>
        <w:ind w:firstLine="567"/>
      </w:pPr>
      <w:bookmarkStart w:id="56" w:name="_Toc105161262"/>
      <w:r w:rsidRPr="005A16AD">
        <w:t>Dėl galimybės pretenduoti į paramą jauniesiems ūkininkams ir paramą smulkių ūkių plėtrai (Reglamento Nr. 1305/2013 19 straipsnio 1 dalies a punkto i ir iii papunkčiai)</w:t>
      </w:r>
      <w:bookmarkEnd w:id="56"/>
    </w:p>
    <w:p w14:paraId="372A9176" w14:textId="77777777" w:rsidR="0069032F" w:rsidRPr="0069032F" w:rsidRDefault="0069032F" w:rsidP="0069032F">
      <w:pPr>
        <w:pStyle w:val="Betarp"/>
        <w:ind w:firstLine="567"/>
        <w:jc w:val="both"/>
        <w:rPr>
          <w:rFonts w:asciiTheme="minorHAnsi" w:hAnsiTheme="minorHAnsi" w:cstheme="minorHAnsi"/>
          <w:sz w:val="22"/>
          <w:lang w:val="lt-LT"/>
        </w:rPr>
      </w:pPr>
    </w:p>
    <w:p w14:paraId="771B3448" w14:textId="77777777" w:rsidR="0069032F" w:rsidRPr="0069032F" w:rsidRDefault="0069032F" w:rsidP="0069032F">
      <w:pPr>
        <w:pStyle w:val="Betarp"/>
        <w:ind w:firstLine="567"/>
        <w:jc w:val="both"/>
        <w:rPr>
          <w:rFonts w:asciiTheme="minorHAnsi" w:hAnsiTheme="minorHAnsi" w:cstheme="minorHAnsi"/>
          <w:sz w:val="22"/>
          <w:lang w:val="lt-LT"/>
        </w:rPr>
      </w:pPr>
      <w:r w:rsidRPr="0069032F">
        <w:rPr>
          <w:rFonts w:asciiTheme="minorHAnsi" w:hAnsiTheme="minorHAnsi" w:cstheme="minorHAnsi"/>
          <w:sz w:val="22"/>
          <w:lang w:val="lt-LT"/>
        </w:rPr>
        <w:t xml:space="preserve">Teisingumo Teismas nurodė, kad Reglamentu Nr. 1305/2013 pagalba pagal priemonę „Žemės ūkio valdų ir komercinės veiklos plėtra“ apima trijų rūšių paramą verslui pradėti, tarp jų – paramą jauniesiems ūkininkams ir paramą smulkių ūkių plėtrai. Reglamento Nr. 1305/2013 19 straipsnio 4 dalies formuluotėje aiškiai neišspręstas klausimas dėl pagal šio reglamento 19 straipsnio 1 dalies a punkto i ir iii papunkčius suteiktos pagalbos sumavimo, kita vertus, šios pagalbos ribų nustatymas neprieštarauja tam, kad atitinkamas pagalbos priemones būtų galima sumuoti, jeigu laikomasi didžiausios skiriamos pagalbos sumos reikalavimų, kaip numatyta 19 straipsnio 6 dalyje. Negalima atmesti galimybės, kad, gavęs paramą verslui pradėti plečiant smulkias žemės ūkio valdas, jos gavėjas prireikus galėtų padidinti savo gamybos potencialą, gaudamas pirmąją pagalbos priemonę, taigi nuspręsti įsisteigti kaip „jaunasis ūkininkas“. Vadinasi, </w:t>
      </w:r>
      <w:r w:rsidRPr="0069032F">
        <w:rPr>
          <w:rFonts w:asciiTheme="minorHAnsi" w:hAnsiTheme="minorHAnsi" w:cstheme="minorHAnsi"/>
          <w:sz w:val="22"/>
          <w:u w:val="single"/>
          <w:lang w:val="lt-LT"/>
        </w:rPr>
        <w:t>tokios pagalbos gavėjo statusas neužkerta kelio pretenduoti į „jaunojo ūkininko“ statusą, kaip tai suprantama pagal šią nuostatą, kurioje nustatyti tik amžiaus ir kompetencijos kriterijai bei reikalavimas pirmą kartą įsisteigti žemės ūkio valdoje kaip tos valdos valdytojui</w:t>
      </w:r>
      <w:r w:rsidRPr="0069032F">
        <w:rPr>
          <w:rFonts w:asciiTheme="minorHAnsi" w:hAnsiTheme="minorHAnsi" w:cstheme="minorHAnsi"/>
          <w:sz w:val="22"/>
          <w:lang w:val="lt-LT"/>
        </w:rPr>
        <w:t xml:space="preserve">. ESTT pažymėjo, jog </w:t>
      </w:r>
      <w:r w:rsidRPr="0069032F">
        <w:rPr>
          <w:rFonts w:asciiTheme="minorHAnsi" w:hAnsiTheme="minorHAnsi" w:cstheme="minorHAnsi"/>
          <w:sz w:val="22"/>
          <w:u w:val="single"/>
          <w:lang w:val="lt-LT"/>
        </w:rPr>
        <w:t>suma, gauta pagal verslo pradžios paramą smulkaus ūkio plėtrai, turi būti išskaičiuojama iš skiriant paramą verslą pradedantiems jauniesiems ūkininkams suteiktinos sumos, kad nebūtų viršyta didžiausia galima vienam jaunajam ūkininkui tenkančios paramos suma</w:t>
      </w:r>
      <w:r w:rsidRPr="0069032F">
        <w:rPr>
          <w:rFonts w:asciiTheme="minorHAnsi" w:hAnsiTheme="minorHAnsi" w:cstheme="minorHAnsi"/>
          <w:sz w:val="22"/>
          <w:lang w:val="lt-LT"/>
        </w:rPr>
        <w:t>, numatyta Reglamento Nr. 1305/2013 19 straipsnio 6 dalyje ir II priede.</w:t>
      </w:r>
    </w:p>
    <w:p w14:paraId="69B194E1" w14:textId="77777777" w:rsidR="0069032F" w:rsidRPr="0069032F" w:rsidRDefault="0069032F" w:rsidP="0069032F">
      <w:pPr>
        <w:pStyle w:val="Betarp"/>
        <w:ind w:firstLine="567"/>
        <w:jc w:val="both"/>
        <w:rPr>
          <w:rFonts w:asciiTheme="minorHAnsi" w:hAnsiTheme="minorHAnsi" w:cstheme="minorHAnsi"/>
          <w:sz w:val="22"/>
          <w:lang w:val="lt-LT"/>
        </w:rPr>
      </w:pPr>
    </w:p>
    <w:p w14:paraId="5CA97D23" w14:textId="77777777" w:rsidR="0069032F" w:rsidRPr="005A16AD" w:rsidRDefault="0069032F" w:rsidP="005A16AD">
      <w:pPr>
        <w:pStyle w:val="Antrat3"/>
        <w:tabs>
          <w:tab w:val="clear" w:pos="567"/>
          <w:tab w:val="left" w:pos="426"/>
        </w:tabs>
        <w:ind w:firstLine="567"/>
      </w:pPr>
      <w:bookmarkStart w:id="57" w:name="_Toc105161263"/>
      <w:r w:rsidRPr="005A16AD">
        <w:t>Dėl valstybės narės teisės nustatyti draudimą išmokėti paramą jaunajam ūkininkui, jau gavusiam verslo pradžios paramą smulkaus ūkio plėtrai</w:t>
      </w:r>
      <w:bookmarkEnd w:id="57"/>
    </w:p>
    <w:p w14:paraId="6D329C27" w14:textId="77777777" w:rsidR="0069032F" w:rsidRPr="0069032F" w:rsidRDefault="0069032F" w:rsidP="0069032F">
      <w:pPr>
        <w:pStyle w:val="Betarp"/>
        <w:ind w:firstLine="567"/>
        <w:jc w:val="both"/>
        <w:rPr>
          <w:rFonts w:asciiTheme="minorHAnsi" w:hAnsiTheme="minorHAnsi" w:cstheme="minorHAnsi"/>
          <w:sz w:val="22"/>
          <w:lang w:val="lt-LT"/>
        </w:rPr>
      </w:pPr>
    </w:p>
    <w:p w14:paraId="499D6859" w14:textId="77777777" w:rsidR="0069032F" w:rsidRPr="0069032F" w:rsidRDefault="0069032F" w:rsidP="0069032F">
      <w:pPr>
        <w:pStyle w:val="Betarp"/>
        <w:ind w:firstLine="567"/>
        <w:jc w:val="both"/>
        <w:rPr>
          <w:rFonts w:asciiTheme="minorHAnsi" w:hAnsiTheme="minorHAnsi" w:cstheme="minorHAnsi"/>
          <w:sz w:val="22"/>
          <w:lang w:val="lt-LT"/>
        </w:rPr>
      </w:pPr>
      <w:r w:rsidRPr="0069032F">
        <w:rPr>
          <w:rFonts w:asciiTheme="minorHAnsi" w:hAnsiTheme="minorHAnsi" w:cstheme="minorHAnsi"/>
          <w:sz w:val="22"/>
          <w:lang w:val="lt-LT"/>
        </w:rPr>
        <w:t xml:space="preserve">Teisingumo Teismas pabrėžė, kad Reglamentas Nr. 1305/2013 valstybėms narėms palieka diskreciją dėl jame numatytos pagalbos įgyvendinimo tvarkos. </w:t>
      </w:r>
      <w:r w:rsidRPr="0069032F">
        <w:rPr>
          <w:rFonts w:asciiTheme="minorHAnsi" w:hAnsiTheme="minorHAnsi" w:cstheme="minorHAnsi"/>
          <w:sz w:val="22"/>
          <w:u w:val="single"/>
          <w:lang w:val="lt-LT"/>
        </w:rPr>
        <w:t>Valstybės narės</w:t>
      </w:r>
      <w:r w:rsidRPr="0069032F">
        <w:rPr>
          <w:rFonts w:asciiTheme="minorHAnsi" w:hAnsiTheme="minorHAnsi" w:cstheme="minorHAnsi"/>
          <w:sz w:val="22"/>
          <w:lang w:val="lt-LT"/>
        </w:rPr>
        <w:t xml:space="preserve"> iš principo gali pasirinkti, ką įtraukti į kaimo plėtros programas. Taigi jos </w:t>
      </w:r>
      <w:r w:rsidRPr="0069032F">
        <w:rPr>
          <w:rFonts w:asciiTheme="minorHAnsi" w:hAnsiTheme="minorHAnsi" w:cstheme="minorHAnsi"/>
          <w:sz w:val="22"/>
          <w:u w:val="single"/>
          <w:lang w:val="lt-LT"/>
        </w:rPr>
        <w:t>turi galimybę numatyti šio reglamento 19 straipsnio 1 dalies a punkte nurodytos paramos verslo pradžiai apribojimus ir nustatyti draudimą išmokėti minėto reglamento 19 straipsnio 1 dalies a punkto i papunktyje nurodytą paramą ūkininkui, kuris jau gavo šios nuostatos a punkto iii papunktyje numatytą paramą</w:t>
      </w:r>
      <w:r w:rsidRPr="0069032F">
        <w:rPr>
          <w:rFonts w:asciiTheme="minorHAnsi" w:hAnsiTheme="minorHAnsi" w:cstheme="minorHAnsi"/>
          <w:sz w:val="22"/>
          <w:lang w:val="lt-LT"/>
        </w:rPr>
        <w:t>.</w:t>
      </w:r>
    </w:p>
    <w:p w14:paraId="36B8F2A1" w14:textId="77777777" w:rsidR="0069032F" w:rsidRPr="0069032F" w:rsidRDefault="004D029A" w:rsidP="0069032F">
      <w:pPr>
        <w:pStyle w:val="Betarp"/>
        <w:ind w:firstLine="567"/>
        <w:rPr>
          <w:rFonts w:asciiTheme="minorHAnsi" w:hAnsiTheme="minorHAnsi" w:cstheme="minorHAnsi"/>
          <w:b/>
          <w:bCs/>
          <w:sz w:val="22"/>
          <w:lang w:val="lt-LT"/>
        </w:rPr>
      </w:pPr>
      <w:hyperlink r:id="rId25" w:history="1">
        <w:r w:rsidR="0069032F" w:rsidRPr="0069032F">
          <w:rPr>
            <w:rStyle w:val="Hipersaitas"/>
            <w:rFonts w:asciiTheme="minorHAnsi" w:hAnsiTheme="minorHAnsi" w:cstheme="minorHAnsi"/>
            <w:sz w:val="22"/>
            <w:lang w:val="lt-LT"/>
          </w:rPr>
          <w:t>Prieiga internete</w:t>
        </w:r>
      </w:hyperlink>
    </w:p>
    <w:p w14:paraId="7040CB39" w14:textId="77777777" w:rsidR="0069032F" w:rsidRPr="0069032F" w:rsidRDefault="0069032F" w:rsidP="0069032F">
      <w:pPr>
        <w:pStyle w:val="Betarp"/>
        <w:jc w:val="center"/>
        <w:rPr>
          <w:rFonts w:asciiTheme="minorHAnsi" w:hAnsiTheme="minorHAnsi" w:cstheme="minorHAnsi"/>
          <w:b/>
          <w:bCs/>
          <w:sz w:val="22"/>
          <w:lang w:val="lt-LT"/>
        </w:rPr>
      </w:pPr>
    </w:p>
    <w:p w14:paraId="00C14784" w14:textId="17A5AF8B" w:rsidR="0069032F" w:rsidRPr="00906B10" w:rsidRDefault="0069032F" w:rsidP="005A16AD">
      <w:pPr>
        <w:pStyle w:val="Antrat1"/>
      </w:pPr>
      <w:bookmarkStart w:id="58" w:name="_Toc105161264"/>
      <w:r w:rsidRPr="00906B10">
        <w:t xml:space="preserve">2021 m. spalio 14 d. sprendimas byloje </w:t>
      </w:r>
      <w:r w:rsidRPr="00252DD3">
        <w:rPr>
          <w:i/>
          <w:iCs/>
        </w:rPr>
        <w:t>Dyrektor Z. Oddziału Regionalnego Agencji Restrukturyzacji i Modernizacji Rolnictwa</w:t>
      </w:r>
      <w:r w:rsidR="005A16AD">
        <w:t xml:space="preserve">, </w:t>
      </w:r>
      <w:r w:rsidRPr="00906B10">
        <w:t>C-373/2020</w:t>
      </w:r>
      <w:bookmarkEnd w:id="58"/>
    </w:p>
    <w:p w14:paraId="11E14588" w14:textId="77777777" w:rsidR="0069032F" w:rsidRPr="0069032F" w:rsidRDefault="0069032F" w:rsidP="0069032F">
      <w:pPr>
        <w:pStyle w:val="Betarp"/>
        <w:jc w:val="both"/>
        <w:rPr>
          <w:rFonts w:asciiTheme="minorHAnsi" w:hAnsiTheme="minorHAnsi" w:cstheme="minorHAnsi"/>
          <w:iCs/>
          <w:sz w:val="22"/>
          <w:lang w:val="lt-LT"/>
        </w:rPr>
      </w:pPr>
    </w:p>
    <w:p w14:paraId="0A353D31" w14:textId="77777777" w:rsidR="0069032F" w:rsidRPr="0069032F" w:rsidRDefault="0069032F" w:rsidP="0069032F">
      <w:pPr>
        <w:pStyle w:val="Betarp"/>
        <w:ind w:firstLine="567"/>
        <w:jc w:val="both"/>
        <w:rPr>
          <w:rFonts w:asciiTheme="minorHAnsi" w:hAnsiTheme="minorHAnsi" w:cstheme="minorHAnsi"/>
          <w:sz w:val="22"/>
          <w:lang w:val="lt-LT"/>
        </w:rPr>
      </w:pPr>
      <w:r w:rsidRPr="0069032F">
        <w:rPr>
          <w:rFonts w:asciiTheme="minorHAnsi" w:hAnsiTheme="minorHAnsi" w:cstheme="minorHAnsi"/>
          <w:sz w:val="22"/>
          <w:lang w:val="lt-LT"/>
        </w:rPr>
        <w:lastRenderedPageBreak/>
        <w:t>Žemės ūkis – Bendra žemės ūkio politika – Tiesioginės paramos schemos – Bendrosios taisyklės – Bendrosios išmokos schema – Reglamentas (EB) Nr. 1120/2009 – 2 straipsnio c punktas – Sąvoka „daugiametės ganyklos“ – Sėjomaina – Periodiškai vykstantis natūralus pievų ir ganyklų, esančių specialioje gamtos apsaugos teritorijoje, užliejimas</w:t>
      </w:r>
    </w:p>
    <w:p w14:paraId="3779240E" w14:textId="77777777" w:rsidR="0069032F" w:rsidRPr="0069032F" w:rsidRDefault="0069032F" w:rsidP="0069032F">
      <w:pPr>
        <w:pStyle w:val="Betarp"/>
        <w:ind w:firstLine="567"/>
        <w:jc w:val="both"/>
        <w:rPr>
          <w:rFonts w:asciiTheme="minorHAnsi" w:hAnsiTheme="minorHAnsi" w:cstheme="minorHAnsi"/>
          <w:sz w:val="22"/>
          <w:lang w:val="lt-LT"/>
        </w:rPr>
      </w:pPr>
    </w:p>
    <w:p w14:paraId="3D690577" w14:textId="77777777" w:rsidR="0069032F" w:rsidRPr="0069032F" w:rsidRDefault="0069032F" w:rsidP="0069032F">
      <w:pPr>
        <w:pStyle w:val="Betarp"/>
        <w:jc w:val="center"/>
        <w:rPr>
          <w:rFonts w:asciiTheme="minorHAnsi" w:hAnsiTheme="minorHAnsi" w:cstheme="minorHAnsi"/>
          <w:b/>
          <w:sz w:val="22"/>
          <w:lang w:val="lt-LT"/>
        </w:rPr>
      </w:pPr>
      <w:r w:rsidRPr="0069032F">
        <w:rPr>
          <w:rFonts w:asciiTheme="minorHAnsi" w:hAnsiTheme="minorHAnsi" w:cstheme="minorHAnsi"/>
          <w:b/>
          <w:sz w:val="22"/>
          <w:lang w:val="lt-LT"/>
        </w:rPr>
        <w:t>Bylos aplinkybės</w:t>
      </w:r>
    </w:p>
    <w:p w14:paraId="01037642" w14:textId="77777777" w:rsidR="0069032F" w:rsidRPr="0069032F" w:rsidRDefault="0069032F" w:rsidP="0069032F">
      <w:pPr>
        <w:pStyle w:val="Betarp"/>
        <w:ind w:firstLine="709"/>
        <w:jc w:val="both"/>
        <w:rPr>
          <w:rFonts w:asciiTheme="minorHAnsi" w:hAnsiTheme="minorHAnsi" w:cstheme="minorHAnsi"/>
          <w:sz w:val="22"/>
          <w:lang w:val="lt-LT"/>
        </w:rPr>
      </w:pPr>
    </w:p>
    <w:p w14:paraId="7CDC7526" w14:textId="77777777" w:rsidR="0069032F" w:rsidRPr="0069032F" w:rsidRDefault="0069032F" w:rsidP="0069032F">
      <w:pPr>
        <w:pStyle w:val="Betarp"/>
        <w:ind w:firstLine="567"/>
        <w:jc w:val="both"/>
        <w:rPr>
          <w:rFonts w:asciiTheme="minorHAnsi" w:hAnsiTheme="minorHAnsi" w:cstheme="minorHAnsi"/>
          <w:sz w:val="22"/>
          <w:lang w:val="lt-LT"/>
        </w:rPr>
      </w:pPr>
      <w:r w:rsidRPr="0069032F">
        <w:rPr>
          <w:rFonts w:asciiTheme="minorHAnsi" w:hAnsiTheme="minorHAnsi" w:cstheme="minorHAnsi"/>
          <w:sz w:val="22"/>
          <w:lang w:val="lt-LT"/>
        </w:rPr>
        <w:t>Ūkininkas 2009 metais pradėjo įgyvendinti penkerių metų trukmės (2009–2013 m.) agrarinės aplinkosaugos įsipareigojimą pagal Ekologinio ūkininkavimo ir Didelių daugiamečių ganyklų priemones, 2009–2011 metais gavo išmokas už deklaruotus žemės plotus, 2012 metais paprašė sumažinti išmokų tikslais deklaruotą plotą – pievas ir ganyklas, kurių dėl užliejimo nebuvo įmanoma nušienauti nustatytu terminu, dėl šios priežasties jam skirta sumažinta išmoka. 2013 metais ūkininkas pateikė agrarinės aplinkosaugos išmokų prašymą, kuriame deklaravo tuos pačius žemės plotus kaip 2009–2011 metais, nurodė, kad 2012 metais deklaruoto ploto sumažinimas negali turėti įtakos 2013 metais deklaruojamam plotui, nes jis nebuvo atsakingas už apsėmimą vandeniu ir užliejimą, be to, 2012 m. spalį pievas ir ganyklas nušienavo.</w:t>
      </w:r>
    </w:p>
    <w:p w14:paraId="30873555" w14:textId="77777777" w:rsidR="0069032F" w:rsidRPr="0069032F" w:rsidRDefault="0069032F" w:rsidP="0069032F">
      <w:pPr>
        <w:pStyle w:val="Betarp"/>
        <w:ind w:firstLine="567"/>
        <w:jc w:val="both"/>
        <w:rPr>
          <w:rFonts w:asciiTheme="minorHAnsi" w:hAnsiTheme="minorHAnsi" w:cstheme="minorHAnsi"/>
          <w:sz w:val="22"/>
          <w:lang w:val="lt-LT"/>
        </w:rPr>
      </w:pPr>
      <w:r w:rsidRPr="0069032F">
        <w:rPr>
          <w:rFonts w:asciiTheme="minorHAnsi" w:hAnsiTheme="minorHAnsi" w:cstheme="minorHAnsi"/>
          <w:sz w:val="22"/>
          <w:lang w:val="lt-LT"/>
        </w:rPr>
        <w:t>Nacionalinė paramą administruojanti institucija nusprendė, kad žemės plotų, kurie buvo apsemti vandeniu ir užlieti, tęstinis naudojimas kaip daugiamečių ganyklų buvo nutrauktas, jų nebegalima laikyti daugiametėmis ganyklomis, nes po to, kai daugiametėms ganykloms priskirti žemės plotai buvo apsemti vandeniu ir užlieti, ūkininkas taikė sėjomainą.</w:t>
      </w:r>
    </w:p>
    <w:p w14:paraId="4E15CCED" w14:textId="77777777" w:rsidR="0069032F" w:rsidRPr="0069032F" w:rsidRDefault="0069032F" w:rsidP="0069032F">
      <w:pPr>
        <w:pStyle w:val="Betarp"/>
        <w:ind w:firstLine="567"/>
        <w:jc w:val="both"/>
        <w:rPr>
          <w:rFonts w:asciiTheme="minorHAnsi" w:hAnsiTheme="minorHAnsi" w:cstheme="minorHAnsi"/>
          <w:sz w:val="22"/>
          <w:lang w:val="lt-LT"/>
        </w:rPr>
      </w:pPr>
      <w:r w:rsidRPr="0069032F">
        <w:rPr>
          <w:rFonts w:asciiTheme="minorHAnsi" w:hAnsiTheme="minorHAnsi" w:cstheme="minorHAnsi"/>
          <w:sz w:val="22"/>
          <w:lang w:val="lt-LT"/>
        </w:rPr>
        <w:t>Teismui, į kurį kreipėsi pareiškėjas (ūkininkas) pagrindinėje byloje, kilo abejonių dėl to, ar daugiametės ganyklos praranda savo savybes ir tikslą, kai jose, kaip tai aiškina nacionalinės valdžios institucijos, taikoma sėjomaina, t. y. kai jos apsemiamos vandeniu arba užliejamos. Todėl kreiptasi į ESTT, teiraujantis, ar nacionalinės institucijos teisingai supranta apibrėžtį „daugiametė ganykla“, pateiktą Reglamento (EB) Nr. 1120/2009</w:t>
      </w:r>
      <w:r w:rsidRPr="0069032F">
        <w:rPr>
          <w:rStyle w:val="Puslapioinaosnuoroda"/>
          <w:rFonts w:asciiTheme="minorHAnsi" w:hAnsiTheme="minorHAnsi" w:cstheme="minorHAnsi"/>
          <w:sz w:val="22"/>
          <w:lang w:val="lt-LT"/>
        </w:rPr>
        <w:footnoteReference w:id="21"/>
      </w:r>
      <w:r w:rsidRPr="0069032F">
        <w:rPr>
          <w:rFonts w:asciiTheme="minorHAnsi" w:hAnsiTheme="minorHAnsi" w:cstheme="minorHAnsi"/>
          <w:sz w:val="22"/>
          <w:lang w:val="lt-LT"/>
        </w:rPr>
        <w:t xml:space="preserve"> 2 straipsnio c punkte, atsižvelgiant į tai, kad dėl specialios gamtos apsaugos zonoje („Natura 2000“, Inskio kraštovaizdžio parkas) esančių pievų ir ganyklų natūralaus periodinio apsėmimo vandeniu ir užliejimo ši žemė įtraukiama į sėjomainą ir dėl to nutrūksta penkerių metų (ar ilgesnis) sėjomainos netaikymo laikotarpis, o tai sudaro pagrindą atimti iš ūkininko agrarinės aplinkosaugos išmokas arba jas apriboti, taip pat atsiranda kitų finansinių padarinių, susijusių su penkerių metų agrarinės aplinkosaugos programos įgyvendinimo laikotarpio nutraukimu.</w:t>
      </w:r>
    </w:p>
    <w:p w14:paraId="35639224" w14:textId="77777777" w:rsidR="0069032F" w:rsidRPr="0069032F" w:rsidRDefault="0069032F" w:rsidP="0069032F">
      <w:pPr>
        <w:pStyle w:val="Betarp"/>
        <w:ind w:firstLine="709"/>
        <w:jc w:val="both"/>
        <w:rPr>
          <w:rFonts w:asciiTheme="minorHAnsi" w:hAnsiTheme="minorHAnsi" w:cstheme="minorHAnsi"/>
          <w:sz w:val="22"/>
          <w:lang w:val="lt-LT"/>
        </w:rPr>
      </w:pPr>
    </w:p>
    <w:p w14:paraId="47EA3416" w14:textId="77777777" w:rsidR="0069032F" w:rsidRPr="0069032F" w:rsidRDefault="0069032F" w:rsidP="0069032F">
      <w:pPr>
        <w:pStyle w:val="Betarp"/>
        <w:jc w:val="center"/>
        <w:rPr>
          <w:rFonts w:asciiTheme="minorHAnsi" w:hAnsiTheme="minorHAnsi" w:cstheme="minorHAnsi"/>
          <w:sz w:val="22"/>
          <w:lang w:val="lt-LT"/>
        </w:rPr>
      </w:pPr>
      <w:r w:rsidRPr="0069032F">
        <w:rPr>
          <w:rFonts w:asciiTheme="minorHAnsi" w:hAnsiTheme="minorHAnsi" w:cstheme="minorHAnsi"/>
          <w:b/>
          <w:sz w:val="22"/>
          <w:lang w:val="lt-LT"/>
        </w:rPr>
        <w:t>Teisingumo Teismo vertinimas</w:t>
      </w:r>
    </w:p>
    <w:p w14:paraId="7EDD14FE" w14:textId="77777777" w:rsidR="0069032F" w:rsidRPr="0069032F" w:rsidRDefault="0069032F" w:rsidP="0069032F">
      <w:pPr>
        <w:pStyle w:val="Betarp"/>
        <w:jc w:val="both"/>
        <w:rPr>
          <w:rFonts w:asciiTheme="minorHAnsi" w:hAnsiTheme="minorHAnsi" w:cstheme="minorHAnsi"/>
          <w:sz w:val="22"/>
          <w:lang w:val="lt-LT"/>
        </w:rPr>
      </w:pPr>
    </w:p>
    <w:p w14:paraId="027B4EC9" w14:textId="77777777" w:rsidR="0069032F" w:rsidRPr="005A16AD" w:rsidRDefault="0069032F" w:rsidP="005A16AD">
      <w:pPr>
        <w:pStyle w:val="Antrat3"/>
        <w:tabs>
          <w:tab w:val="clear" w:pos="567"/>
          <w:tab w:val="left" w:pos="426"/>
        </w:tabs>
        <w:ind w:firstLine="567"/>
      </w:pPr>
      <w:bookmarkStart w:id="59" w:name="_Toc105161265"/>
      <w:r w:rsidRPr="005A16AD">
        <w:t>Dėl natūralaus periodiškai vykstančio daugiamečių pievų ir ganyklų užliejimo nelaikymo sėjomaina</w:t>
      </w:r>
      <w:bookmarkEnd w:id="59"/>
      <w:r w:rsidRPr="005A16AD">
        <w:t xml:space="preserve"> </w:t>
      </w:r>
    </w:p>
    <w:p w14:paraId="4F8A27E5" w14:textId="77777777" w:rsidR="0069032F" w:rsidRPr="0069032F" w:rsidRDefault="0069032F" w:rsidP="0069032F">
      <w:pPr>
        <w:pStyle w:val="Betarp"/>
        <w:ind w:firstLine="567"/>
        <w:jc w:val="both"/>
        <w:rPr>
          <w:rFonts w:asciiTheme="minorHAnsi" w:hAnsiTheme="minorHAnsi" w:cstheme="minorHAnsi"/>
          <w:sz w:val="22"/>
          <w:lang w:val="lt-LT"/>
        </w:rPr>
      </w:pPr>
    </w:p>
    <w:p w14:paraId="022962D9" w14:textId="5E58BCAE" w:rsidR="0069032F" w:rsidRPr="0069032F" w:rsidRDefault="0069032F" w:rsidP="0069032F">
      <w:pPr>
        <w:pStyle w:val="Betarp"/>
        <w:ind w:firstLine="567"/>
        <w:jc w:val="both"/>
        <w:rPr>
          <w:rFonts w:asciiTheme="minorHAnsi" w:hAnsiTheme="minorHAnsi" w:cstheme="minorHAnsi"/>
          <w:sz w:val="22"/>
          <w:lang w:val="lt-LT"/>
        </w:rPr>
      </w:pPr>
      <w:r w:rsidRPr="0069032F">
        <w:rPr>
          <w:rFonts w:asciiTheme="minorHAnsi" w:hAnsiTheme="minorHAnsi" w:cstheme="minorHAnsi"/>
          <w:sz w:val="22"/>
          <w:lang w:val="lt-LT"/>
        </w:rPr>
        <w:t xml:space="preserve">Teisingumo Teismas pažymėjo, kad Reglamento Nr. 1120/2009 2 straipsnio c punkte vartojama sąvoka „sėjomaina“ įprastai suprantama kaip žemės ūkio praktika, kai tame pačiame žemės plote vienas po kito tam tikrą laikotarpį auginami skirtingi pasėliai, siekiant išlaikyti žemės derlingumą ir sumažinti kenksmingų organizmų sukeliamą poveikį. </w:t>
      </w:r>
      <w:r w:rsidRPr="0069032F">
        <w:rPr>
          <w:rFonts w:asciiTheme="minorHAnsi" w:hAnsiTheme="minorHAnsi" w:cstheme="minorHAnsi"/>
          <w:sz w:val="22"/>
          <w:u w:val="single"/>
          <w:lang w:val="lt-LT"/>
        </w:rPr>
        <w:t xml:space="preserve">Negalima teigti, kad periodiškai vykstantys natūralūs pievų ir ganyklų apsėmimai vandeniu arba užliejimai, </w:t>
      </w:r>
      <w:r w:rsidRPr="0069032F">
        <w:rPr>
          <w:rFonts w:asciiTheme="minorHAnsi" w:hAnsiTheme="minorHAnsi" w:cstheme="minorHAnsi"/>
          <w:i/>
          <w:sz w:val="22"/>
          <w:u w:val="single"/>
          <w:lang w:val="lt-LT"/>
        </w:rPr>
        <w:t xml:space="preserve">a fortiori </w:t>
      </w:r>
      <w:r w:rsidRPr="0069032F">
        <w:rPr>
          <w:rFonts w:asciiTheme="minorHAnsi" w:hAnsiTheme="minorHAnsi" w:cstheme="minorHAnsi"/>
          <w:sz w:val="22"/>
          <w:u w:val="single"/>
          <w:lang w:val="lt-LT"/>
        </w:rPr>
        <w:t>(juo labiau), kai jie yra trumpalaikiai, gali būti laikomi tokia „žemės ūkio praktika“</w:t>
      </w:r>
      <w:r w:rsidRPr="0069032F">
        <w:rPr>
          <w:rFonts w:asciiTheme="minorHAnsi" w:hAnsiTheme="minorHAnsi" w:cstheme="minorHAnsi"/>
          <w:sz w:val="22"/>
          <w:lang w:val="lt-LT"/>
        </w:rPr>
        <w:t xml:space="preserve">, nes jie nepriklauso nuo atitinkamo ūkininko valios ir yra periodiškai vykstančių natūralių reiškinių, kurių dažnai negalima numatyti, rezultatas. Be to, tokie reiškiniai nelemia skirtingų „pasėlių“ tame pačiame žemės sklype sekos, nes pati sąvoka „pasėlis“ įprastai suvokiama kaip apimanti žemės dirbimą, siekiant auginti augalus. </w:t>
      </w:r>
      <w:r w:rsidRPr="0069032F">
        <w:rPr>
          <w:rFonts w:asciiTheme="minorHAnsi" w:hAnsiTheme="minorHAnsi" w:cstheme="minorHAnsi"/>
          <w:sz w:val="22"/>
          <w:u w:val="single"/>
          <w:lang w:val="lt-LT"/>
        </w:rPr>
        <w:t>„Sėjomaina“ pagal Reglamento Nr. 1120/2009 2</w:t>
      </w:r>
      <w:r w:rsidR="009E1656">
        <w:rPr>
          <w:rFonts w:asciiTheme="minorHAnsi" w:hAnsiTheme="minorHAnsi" w:cstheme="minorHAnsi"/>
          <w:sz w:val="22"/>
          <w:u w:val="single"/>
          <w:lang w:val="lt-LT"/>
        </w:rPr>
        <w:t> </w:t>
      </w:r>
      <w:r w:rsidRPr="0069032F">
        <w:rPr>
          <w:rFonts w:asciiTheme="minorHAnsi" w:hAnsiTheme="minorHAnsi" w:cstheme="minorHAnsi"/>
          <w:sz w:val="22"/>
          <w:u w:val="single"/>
          <w:lang w:val="lt-LT"/>
        </w:rPr>
        <w:t>straipsnio c punktą yra tik tuomet, kai auginami ne žoliniai pašarai, o kitokios kultūros</w:t>
      </w:r>
      <w:r w:rsidRPr="0069032F">
        <w:rPr>
          <w:rFonts w:asciiTheme="minorHAnsi" w:hAnsiTheme="minorHAnsi" w:cstheme="minorHAnsi"/>
          <w:sz w:val="22"/>
          <w:lang w:val="lt-LT"/>
        </w:rPr>
        <w:t>. Periodiškai vykstantis specialios apsaugos teritorijoje esančių žemės plotų natūralus apsėmimas vandeniu ar užliejimas, nors gali turėti įtakos šienavimo laikui, nekeičia šios žemės paskirties ir niekaip nereiškia, kad kokiu nors techniniu būdu auginami „kiti pasėliai“.</w:t>
      </w:r>
    </w:p>
    <w:p w14:paraId="08C1E378" w14:textId="77777777" w:rsidR="0069032F" w:rsidRPr="0069032F" w:rsidRDefault="0069032F" w:rsidP="0069032F">
      <w:pPr>
        <w:pStyle w:val="Betarp"/>
        <w:ind w:firstLine="567"/>
        <w:jc w:val="both"/>
        <w:rPr>
          <w:rFonts w:asciiTheme="minorHAnsi" w:hAnsiTheme="minorHAnsi" w:cstheme="minorHAnsi"/>
          <w:sz w:val="22"/>
          <w:lang w:val="lt-LT"/>
        </w:rPr>
      </w:pPr>
      <w:r w:rsidRPr="0069032F">
        <w:rPr>
          <w:rFonts w:asciiTheme="minorHAnsi" w:hAnsiTheme="minorHAnsi" w:cstheme="minorHAnsi"/>
          <w:sz w:val="22"/>
          <w:lang w:val="lt-LT"/>
        </w:rPr>
        <w:lastRenderedPageBreak/>
        <w:t>Teisingumo Teismas taip pat pažymėjo, jog atitinkamos pievos ir ganyklos yra specialios apsaugos teritorijoje, aptariamai žemei taikomi apribojimai. Žemės ūkio restruktūrizavimo ir modernizavimo agentūros regioninio departamento direktoriaus pateikiamas „sėjomainos“ sąvokos aiškinimas, pagal kurį ši sąvoka apima periodiškai vykstantį natūralų specialios apsaugos teritorijoje esančių žemės plotų apsėmimą vandeniu arba užliejimą, ir tokia žemė negali būti priskiriama prie „daugiamečių ganyklų“, todėl atitinkamai ūkininkai negali gauti už tokius plotus tiesioginių išmokų, nors laikėsi taikomų teisės aktuose nustatytų aplinkosaugos reikalavimų, pažeistų aplinkos apsaugos tikslą ir galėtų atgrasyti ūkininkus nuo specialios apsaugos teritorijoje esančių žemės plotų naudojimo daugiametėms ganykloms.</w:t>
      </w:r>
    </w:p>
    <w:p w14:paraId="114034C3" w14:textId="77777777" w:rsidR="0069032F" w:rsidRPr="0069032F" w:rsidRDefault="004D029A" w:rsidP="0069032F">
      <w:pPr>
        <w:pStyle w:val="Betarp"/>
        <w:ind w:firstLine="567"/>
        <w:jc w:val="both"/>
        <w:rPr>
          <w:rFonts w:asciiTheme="minorHAnsi" w:hAnsiTheme="minorHAnsi" w:cstheme="minorHAnsi"/>
          <w:sz w:val="22"/>
          <w:lang w:val="lt-LT"/>
        </w:rPr>
      </w:pPr>
      <w:hyperlink r:id="rId26" w:history="1">
        <w:r w:rsidR="0069032F" w:rsidRPr="0069032F">
          <w:rPr>
            <w:rStyle w:val="Hipersaitas"/>
            <w:rFonts w:asciiTheme="minorHAnsi" w:hAnsiTheme="minorHAnsi" w:cstheme="minorHAnsi"/>
            <w:sz w:val="22"/>
            <w:lang w:val="lt-LT"/>
          </w:rPr>
          <w:t>Prieiga internete</w:t>
        </w:r>
      </w:hyperlink>
    </w:p>
    <w:p w14:paraId="2D1044D3" w14:textId="77777777" w:rsidR="0069032F" w:rsidRPr="0069032F" w:rsidRDefault="0069032F" w:rsidP="00C8171C">
      <w:pPr>
        <w:ind w:firstLine="567"/>
        <w:jc w:val="center"/>
        <w:rPr>
          <w:rFonts w:asciiTheme="minorHAnsi" w:hAnsiTheme="minorHAnsi" w:cstheme="minorHAnsi"/>
          <w:b/>
          <w:bCs/>
          <w:color w:val="002060"/>
        </w:rPr>
      </w:pPr>
    </w:p>
    <w:p w14:paraId="41A175B2" w14:textId="484B341B" w:rsidR="002C6C8D" w:rsidRPr="0069032F" w:rsidRDefault="00C8171C" w:rsidP="005A16AD">
      <w:pPr>
        <w:pStyle w:val="Antrat1"/>
      </w:pPr>
      <w:bookmarkStart w:id="60" w:name="_Toc105161266"/>
      <w:r w:rsidRPr="0069032F">
        <w:t>VARTOTOJAI</w:t>
      </w:r>
      <w:bookmarkEnd w:id="60"/>
    </w:p>
    <w:p w14:paraId="081ACFA5" w14:textId="77777777" w:rsidR="00C8171C" w:rsidRPr="0069032F" w:rsidRDefault="00C8171C" w:rsidP="00C8171C">
      <w:pPr>
        <w:ind w:firstLine="567"/>
        <w:jc w:val="center"/>
        <w:rPr>
          <w:rFonts w:asciiTheme="minorHAnsi" w:hAnsiTheme="minorHAnsi" w:cstheme="minorHAnsi"/>
          <w:color w:val="000000"/>
        </w:rPr>
      </w:pPr>
    </w:p>
    <w:p w14:paraId="38D90FA5" w14:textId="1EE0EDDC" w:rsidR="00C8171C" w:rsidRPr="005A16AD" w:rsidRDefault="00C8171C" w:rsidP="005A16AD">
      <w:pPr>
        <w:pStyle w:val="Antrat1"/>
        <w:rPr>
          <w:b w:val="0"/>
          <w:i/>
        </w:rPr>
      </w:pPr>
      <w:bookmarkStart w:id="61" w:name="_Toc11232454"/>
      <w:bookmarkStart w:id="62" w:name="_Toc11232745"/>
      <w:bookmarkStart w:id="63" w:name="_Toc11757981"/>
      <w:bookmarkStart w:id="64" w:name="_Toc105161267"/>
      <w:r w:rsidRPr="0069032F">
        <w:t xml:space="preserve">2021 m. lapkričio 11 d. sprendimas </w:t>
      </w:r>
      <w:r w:rsidRPr="005A16AD">
        <w:t>byloje</w:t>
      </w:r>
      <w:r w:rsidRPr="0069032F">
        <w:t xml:space="preserve"> </w:t>
      </w:r>
      <w:bookmarkEnd w:id="61"/>
      <w:bookmarkEnd w:id="62"/>
      <w:bookmarkEnd w:id="63"/>
      <w:r w:rsidRPr="0069032F">
        <w:rPr>
          <w:i/>
        </w:rPr>
        <w:t>Dr. August Oetker Nahrungsmittel</w:t>
      </w:r>
      <w:r w:rsidR="005A16AD">
        <w:rPr>
          <w:b w:val="0"/>
          <w:i/>
        </w:rPr>
        <w:t xml:space="preserve">, </w:t>
      </w:r>
      <w:r w:rsidRPr="0069032F">
        <w:t>C</w:t>
      </w:r>
      <w:r w:rsidRPr="0069032F">
        <w:rPr>
          <w:rFonts w:ascii="Cambria Math" w:hAnsi="Cambria Math" w:cs="Cambria Math"/>
        </w:rPr>
        <w:t>‑</w:t>
      </w:r>
      <w:r w:rsidRPr="0069032F">
        <w:t>388/20</w:t>
      </w:r>
      <w:bookmarkEnd w:id="64"/>
    </w:p>
    <w:p w14:paraId="6CC1034D" w14:textId="77777777" w:rsidR="00C8171C" w:rsidRPr="0069032F" w:rsidRDefault="00C8171C" w:rsidP="00C8171C">
      <w:pPr>
        <w:pStyle w:val="c01pointnumerotealtn"/>
        <w:shd w:val="clear" w:color="auto" w:fill="FFFFFF"/>
        <w:spacing w:before="0" w:beforeAutospacing="0" w:after="0"/>
        <w:ind w:left="0" w:firstLine="567"/>
        <w:rPr>
          <w:rFonts w:asciiTheme="minorHAnsi" w:hAnsiTheme="minorHAnsi" w:cstheme="minorHAnsi"/>
          <w:sz w:val="22"/>
          <w:szCs w:val="22"/>
        </w:rPr>
      </w:pPr>
    </w:p>
    <w:p w14:paraId="2E427AB6" w14:textId="296A12DB" w:rsidR="00307BD0" w:rsidRPr="0069032F" w:rsidRDefault="00C8171C" w:rsidP="00307BD0">
      <w:pPr>
        <w:pStyle w:val="c01pointnumerotealtn"/>
        <w:shd w:val="clear" w:color="auto" w:fill="FFFFFF"/>
        <w:spacing w:before="0" w:beforeAutospacing="0" w:after="200"/>
        <w:ind w:left="0" w:firstLine="567"/>
        <w:rPr>
          <w:rFonts w:asciiTheme="minorHAnsi" w:hAnsiTheme="minorHAnsi" w:cstheme="minorHAnsi"/>
          <w:sz w:val="22"/>
          <w:szCs w:val="22"/>
        </w:rPr>
      </w:pPr>
      <w:r w:rsidRPr="0069032F">
        <w:rPr>
          <w:rFonts w:asciiTheme="minorHAnsi" w:hAnsiTheme="minorHAnsi" w:cstheme="minorHAnsi"/>
          <w:sz w:val="22"/>
          <w:szCs w:val="22"/>
        </w:rPr>
        <w:t>Reglamentas (ES) Nr. 1169/2011 – Informacijos apie maistą teikimas vartotojams – Maistingumo deklaracija – Energinės vertės ir maistinių medžiagų kiekio apskaičiavimas – Galimybė pateikti šią informaciją dėl paruošto maisto – Išraiška vienai porcijai arba vartojimo vienetui</w:t>
      </w:r>
    </w:p>
    <w:p w14:paraId="18665F20" w14:textId="77777777" w:rsidR="00307BD0" w:rsidRPr="0069032F" w:rsidRDefault="00307BD0" w:rsidP="00307BD0">
      <w:pPr>
        <w:jc w:val="center"/>
        <w:rPr>
          <w:rFonts w:asciiTheme="minorHAnsi" w:hAnsiTheme="minorHAnsi" w:cstheme="minorHAnsi"/>
          <w:b/>
        </w:rPr>
      </w:pPr>
      <w:r w:rsidRPr="0069032F">
        <w:rPr>
          <w:rFonts w:asciiTheme="minorHAnsi" w:hAnsiTheme="minorHAnsi" w:cstheme="minorHAnsi"/>
          <w:b/>
        </w:rPr>
        <w:t>Bylos aplinkybės</w:t>
      </w:r>
    </w:p>
    <w:p w14:paraId="02CCE58F" w14:textId="77777777" w:rsidR="00307BD0" w:rsidRPr="0069032F" w:rsidRDefault="00307BD0" w:rsidP="00C8171C">
      <w:pPr>
        <w:pStyle w:val="c01pointnumerotealtn"/>
        <w:shd w:val="clear" w:color="auto" w:fill="FFFFFF"/>
        <w:spacing w:before="0" w:beforeAutospacing="0" w:after="0"/>
        <w:ind w:left="0" w:firstLine="0"/>
        <w:rPr>
          <w:rFonts w:asciiTheme="minorHAnsi" w:hAnsiTheme="minorHAnsi" w:cstheme="minorHAnsi"/>
          <w:sz w:val="22"/>
          <w:szCs w:val="22"/>
        </w:rPr>
      </w:pPr>
    </w:p>
    <w:p w14:paraId="34FA472A" w14:textId="01A50BED" w:rsidR="00C8171C" w:rsidRPr="0069032F" w:rsidRDefault="00C8171C" w:rsidP="00307BD0">
      <w:pPr>
        <w:pStyle w:val="c01pointnumerotealtn"/>
        <w:shd w:val="clear" w:color="auto" w:fill="FFFFFF"/>
        <w:spacing w:before="0" w:beforeAutospacing="0" w:after="0"/>
        <w:ind w:left="0" w:firstLine="567"/>
        <w:rPr>
          <w:rFonts w:asciiTheme="minorHAnsi" w:hAnsiTheme="minorHAnsi" w:cstheme="minorHAnsi"/>
          <w:sz w:val="22"/>
          <w:szCs w:val="22"/>
        </w:rPr>
      </w:pPr>
      <w:r w:rsidRPr="0069032F">
        <w:rPr>
          <w:rFonts w:asciiTheme="minorHAnsi" w:hAnsiTheme="minorHAnsi" w:cstheme="minorHAnsi"/>
          <w:sz w:val="22"/>
          <w:szCs w:val="22"/>
        </w:rPr>
        <w:t>Vokietijos Federalinė vartotojų centrų ir asociacijų sąjunga įspėjo Vokietijos įmonę Dr. Oetker dėl Reglamento Nr. 1169/2011 numatytų taisyklių dėl maistingumo deklaracijos nesilaikymo, kadangi jos gaminamų dribsnių parduodamo produkto maistinė bei energinė vertė nurodyta šoninėje pakuotės pusėje, o pakuotės priekinėje pusėje nurodoma tik jau paruošto produkto porcijos energinė vertė. Kadangi įspėjimas buvo ignoruotas, kreiptasi į teismą, kuriam kilo klausimas, ar draudžiama pakuotės priekinėje pusėje reklamos tikslais nurodyti informaciją apie paruoštos maisto produkto porcijos maistingumą, nenurodant ir 100 g parduodamo maisto produkto energinės vertės.</w:t>
      </w:r>
    </w:p>
    <w:p w14:paraId="14077C46" w14:textId="77777777" w:rsidR="00154763" w:rsidRPr="0069032F" w:rsidRDefault="00154763" w:rsidP="00154763">
      <w:pPr>
        <w:tabs>
          <w:tab w:val="left" w:pos="3156"/>
        </w:tabs>
        <w:rPr>
          <w:rFonts w:asciiTheme="minorHAnsi" w:hAnsiTheme="minorHAnsi" w:cstheme="minorHAnsi"/>
          <w:b/>
          <w:bCs/>
        </w:rPr>
      </w:pPr>
    </w:p>
    <w:p w14:paraId="7C4639EB" w14:textId="2D28DF33" w:rsidR="00154763" w:rsidRPr="0069032F" w:rsidRDefault="00154763" w:rsidP="00154763">
      <w:pPr>
        <w:tabs>
          <w:tab w:val="left" w:pos="3156"/>
        </w:tabs>
        <w:jc w:val="center"/>
        <w:rPr>
          <w:rFonts w:asciiTheme="minorHAnsi" w:hAnsiTheme="minorHAnsi" w:cstheme="minorHAnsi"/>
          <w:b/>
          <w:bCs/>
        </w:rPr>
      </w:pPr>
      <w:r w:rsidRPr="0069032F">
        <w:rPr>
          <w:rFonts w:asciiTheme="minorHAnsi" w:hAnsiTheme="minorHAnsi" w:cstheme="minorHAnsi"/>
          <w:b/>
          <w:bCs/>
        </w:rPr>
        <w:t>Teisingumo Teismo vertinimas</w:t>
      </w:r>
    </w:p>
    <w:p w14:paraId="0088EDEE" w14:textId="77777777" w:rsidR="00C8171C" w:rsidRPr="0069032F" w:rsidRDefault="00C8171C" w:rsidP="00C8171C">
      <w:pPr>
        <w:pStyle w:val="c01pointnumerotealtn"/>
        <w:shd w:val="clear" w:color="auto" w:fill="FFFFFF"/>
        <w:spacing w:before="0" w:beforeAutospacing="0" w:after="0"/>
        <w:ind w:left="0" w:firstLine="567"/>
        <w:rPr>
          <w:rFonts w:asciiTheme="minorHAnsi" w:hAnsiTheme="minorHAnsi" w:cstheme="minorHAnsi"/>
          <w:sz w:val="22"/>
          <w:szCs w:val="22"/>
        </w:rPr>
      </w:pPr>
    </w:p>
    <w:p w14:paraId="201C6482" w14:textId="77777777" w:rsidR="00C8171C" w:rsidRPr="005A16AD" w:rsidRDefault="00C8171C" w:rsidP="005A16AD">
      <w:pPr>
        <w:pStyle w:val="Antrat3"/>
        <w:tabs>
          <w:tab w:val="clear" w:pos="567"/>
          <w:tab w:val="left" w:pos="426"/>
        </w:tabs>
        <w:ind w:firstLine="567"/>
      </w:pPr>
      <w:bookmarkStart w:id="65" w:name="_Toc11232455"/>
      <w:bookmarkStart w:id="66" w:name="_Toc11232746"/>
      <w:bookmarkStart w:id="67" w:name="_Toc11757982"/>
      <w:bookmarkStart w:id="68" w:name="_Toc105161268"/>
      <w:r w:rsidRPr="005A16AD">
        <w:t xml:space="preserve">Dėl </w:t>
      </w:r>
      <w:bookmarkEnd w:id="65"/>
      <w:bookmarkEnd w:id="66"/>
      <w:bookmarkEnd w:id="67"/>
      <w:r w:rsidRPr="005A16AD">
        <w:t>maisto produkto maistingumo deklaracijos savanoriško pakartojimo priekinėje pakuotės pusėje, kai nurodomas tik vienas iš parduodamo produkto paruošimo būdų</w:t>
      </w:r>
      <w:bookmarkEnd w:id="68"/>
    </w:p>
    <w:p w14:paraId="7C4886AC" w14:textId="77777777" w:rsidR="00C8171C" w:rsidRPr="0069032F" w:rsidRDefault="00C8171C" w:rsidP="00C8171C">
      <w:pPr>
        <w:rPr>
          <w:rFonts w:asciiTheme="minorHAnsi" w:hAnsiTheme="minorHAnsi" w:cstheme="minorHAnsi"/>
          <w:lang w:eastAsia="lt-LT"/>
        </w:rPr>
      </w:pPr>
    </w:p>
    <w:p w14:paraId="22482F1E" w14:textId="77777777" w:rsidR="00307BD0" w:rsidRPr="0069032F" w:rsidRDefault="00C8171C" w:rsidP="00307BD0">
      <w:pPr>
        <w:ind w:firstLine="567"/>
        <w:rPr>
          <w:rFonts w:asciiTheme="minorHAnsi" w:hAnsiTheme="minorHAnsi" w:cstheme="minorHAnsi"/>
        </w:rPr>
      </w:pPr>
      <w:r w:rsidRPr="0069032F">
        <w:rPr>
          <w:rFonts w:asciiTheme="minorHAnsi" w:hAnsiTheme="minorHAnsi" w:cstheme="minorHAnsi"/>
        </w:rPr>
        <w:t>Pagal Reglamento Nr. 1169/2011 31 straipsnio 3 dalies antrą pastraipą „[p]rireikus“ maistingumo duomenys gali būti siejami su „paruoštu maistu“, o ne su „parduodamu“ maisto produktu, „jei pateikiamos pakankamai išsamios jo ruošimo instrukcijos, o informacija susijusi su vartoti paruoštu maistu“. Reglamente Nr. 1169/2011 nėra jokios nuostatos dėl informacijos apie priekinėje pakuotės pusėje pateiktinose maistingumo deklaracijose skelbiamų duomenų apskaičiavimą ir pateikimą.</w:t>
      </w:r>
    </w:p>
    <w:p w14:paraId="20ACA699" w14:textId="77777777" w:rsidR="00307BD0" w:rsidRPr="0069032F" w:rsidRDefault="00307BD0" w:rsidP="00307BD0">
      <w:pPr>
        <w:ind w:firstLine="567"/>
        <w:rPr>
          <w:rFonts w:asciiTheme="minorHAnsi" w:hAnsiTheme="minorHAnsi" w:cstheme="minorHAnsi"/>
        </w:rPr>
      </w:pPr>
      <w:r w:rsidRPr="0069032F">
        <w:rPr>
          <w:rFonts w:asciiTheme="minorHAnsi" w:hAnsiTheme="minorHAnsi" w:cstheme="minorHAnsi"/>
        </w:rPr>
        <w:t>J</w:t>
      </w:r>
      <w:r w:rsidR="00C8171C" w:rsidRPr="0069032F">
        <w:rPr>
          <w:rFonts w:asciiTheme="minorHAnsi" w:hAnsiTheme="minorHAnsi" w:cstheme="minorHAnsi"/>
        </w:rPr>
        <w:t>ei maisto produktas gali būti paruoštas įvairiais būdais, remiantis informacija apie maisto produkto energinę vertę ir maistinių medžiagų kiekį, paruošus šį produktą pagal gamintojo siūlymą, negalima jo palyginti su kitų gamintojų atitinkamais produktais, nes produkto, kuris gali būti paruoštas įvairiais būdais, energinės vertės ir maistinių medžiagų kiekio apskaičiavimas iš esmės nėra aiškus, kadangi neišvengiamai kinta atsižvelgiant į paruošimo būdą. Nepalyginamumo negali kompensuoti tai, kad porcijos vertės nurodytos kitoje pakuotės vietoje, kartu su vertėmis 100 g produkto, koks jis parduodamas. Remiantis atskira informacija, pateikta priekinėje pakuotės pusėje, negalima palyginti produktų, o kitoje pakuotės vietoje esančios papildomos deklaracijos su skirtingais referenciniais kiekiais paprasčiausiai gali dar labiau suklaidinti vartotoją dėl palyginamumo su kitais produktais.</w:t>
      </w:r>
    </w:p>
    <w:p w14:paraId="3DBD0DAD" w14:textId="18C276A0" w:rsidR="00307BD0" w:rsidRPr="0069032F" w:rsidRDefault="00C8171C" w:rsidP="00307BD0">
      <w:pPr>
        <w:ind w:firstLine="567"/>
        <w:rPr>
          <w:rFonts w:asciiTheme="minorHAnsi" w:hAnsiTheme="minorHAnsi" w:cstheme="minorHAnsi"/>
        </w:rPr>
      </w:pPr>
      <w:r w:rsidRPr="0069032F">
        <w:rPr>
          <w:rFonts w:asciiTheme="minorHAnsi" w:hAnsiTheme="minorHAnsi" w:cstheme="minorHAnsi"/>
        </w:rPr>
        <w:t>Atitinkamai, Reglamento Nr. 1169/2011 31 straipsnio 3 dalies antra pastraipos nuostata taikoma tik maisto produktams, kurie turi būti paruošti ir kurių paruošimo būdas yra iš anksto nustatytas.</w:t>
      </w:r>
    </w:p>
    <w:p w14:paraId="4C8C9B60" w14:textId="77777777" w:rsidR="00C8171C" w:rsidRPr="0069032F" w:rsidRDefault="004D029A" w:rsidP="00307BD0">
      <w:pPr>
        <w:pStyle w:val="c01pointnumerotealtn"/>
        <w:shd w:val="clear" w:color="auto" w:fill="FFFFFF"/>
        <w:spacing w:before="0" w:beforeAutospacing="0" w:after="0"/>
        <w:ind w:firstLine="0"/>
        <w:rPr>
          <w:rFonts w:asciiTheme="minorHAnsi" w:hAnsiTheme="minorHAnsi" w:cstheme="minorHAnsi"/>
          <w:sz w:val="22"/>
          <w:szCs w:val="22"/>
        </w:rPr>
      </w:pPr>
      <w:hyperlink r:id="rId27" w:history="1">
        <w:r w:rsidR="00C8171C" w:rsidRPr="0069032F">
          <w:rPr>
            <w:rStyle w:val="Hipersaitas"/>
            <w:rFonts w:asciiTheme="minorHAnsi" w:hAnsiTheme="minorHAnsi" w:cstheme="minorHAnsi"/>
            <w:sz w:val="22"/>
            <w:szCs w:val="22"/>
          </w:rPr>
          <w:t>Prieiga internete</w:t>
        </w:r>
      </w:hyperlink>
      <w:r w:rsidR="00C8171C" w:rsidRPr="0069032F">
        <w:rPr>
          <w:rFonts w:asciiTheme="minorHAnsi" w:hAnsiTheme="minorHAnsi" w:cstheme="minorHAnsi"/>
          <w:sz w:val="22"/>
          <w:szCs w:val="22"/>
        </w:rPr>
        <w:t xml:space="preserve"> </w:t>
      </w:r>
    </w:p>
    <w:p w14:paraId="1F8F03AC" w14:textId="77777777" w:rsidR="00C8171C" w:rsidRPr="0069032F" w:rsidRDefault="00C8171C" w:rsidP="00C8171C">
      <w:pPr>
        <w:spacing w:after="200"/>
        <w:rPr>
          <w:rFonts w:asciiTheme="minorHAnsi" w:hAnsiTheme="minorHAnsi" w:cstheme="minorHAnsi"/>
        </w:rPr>
      </w:pPr>
    </w:p>
    <w:p w14:paraId="076D258F" w14:textId="1C526BFB" w:rsidR="00C8171C" w:rsidRPr="00A8579D" w:rsidRDefault="00C8171C" w:rsidP="00A8579D">
      <w:pPr>
        <w:pStyle w:val="Antrat1"/>
        <w:rPr>
          <w:i/>
        </w:rPr>
      </w:pPr>
      <w:bookmarkStart w:id="69" w:name="_Toc105161269"/>
      <w:r w:rsidRPr="0069032F">
        <w:t xml:space="preserve">2021 m. gruodžio 9 d. sprendimas byloje </w:t>
      </w:r>
      <w:r w:rsidRPr="0069032F">
        <w:rPr>
          <w:i/>
        </w:rPr>
        <w:t>Pro Rauchfrei</w:t>
      </w:r>
      <w:r w:rsidR="00A8579D">
        <w:rPr>
          <w:i/>
        </w:rPr>
        <w:t xml:space="preserve">, </w:t>
      </w:r>
      <w:r w:rsidRPr="0069032F">
        <w:t>C</w:t>
      </w:r>
      <w:r w:rsidRPr="0069032F">
        <w:rPr>
          <w:rFonts w:ascii="Cambria Math" w:hAnsi="Cambria Math" w:cs="Cambria Math"/>
        </w:rPr>
        <w:t>‑</w:t>
      </w:r>
      <w:r w:rsidRPr="0069032F">
        <w:t>370/20</w:t>
      </w:r>
      <w:bookmarkEnd w:id="69"/>
    </w:p>
    <w:p w14:paraId="7F2C3533" w14:textId="0146938E" w:rsidR="00C8171C" w:rsidRPr="00FF0FF7" w:rsidRDefault="00C8171C" w:rsidP="00FF0FF7"/>
    <w:p w14:paraId="2776A423" w14:textId="12FA7DCA" w:rsidR="00E6689B" w:rsidRPr="0069032F" w:rsidRDefault="00C8171C" w:rsidP="00E6689B">
      <w:pPr>
        <w:spacing w:after="200"/>
        <w:ind w:firstLine="567"/>
        <w:rPr>
          <w:rFonts w:asciiTheme="minorHAnsi" w:hAnsiTheme="minorHAnsi" w:cstheme="minorHAnsi"/>
        </w:rPr>
      </w:pPr>
      <w:r w:rsidRPr="0069032F">
        <w:rPr>
          <w:rFonts w:asciiTheme="minorHAnsi" w:hAnsiTheme="minorHAnsi" w:cstheme="minorHAnsi"/>
        </w:rPr>
        <w:lastRenderedPageBreak/>
        <w:t>Tabako gaminių gamyba, pateikimas ir pardavimas – Direktyva 2014/40/ES – Ženklinimas ir pakuotės – Ant kiekvieno vienetinio tabako gaminių pakelio ir bet kokios išorinės pakuotės esantys įspėjimai apie galimą žalą sveikatai – Cigarečių pakelių išdavimo automatas – Nematomi išoriniai įspėjimai apie galimą žalą sveikatai – Vienetinių pakelių atvaizdas – Vartotojams Europos Sąjungoje skirtų vienetinių pakelių ir bet kokių išorinių pakuočių „atvaizdo“ sąvoka</w:t>
      </w:r>
    </w:p>
    <w:p w14:paraId="2EB877BD" w14:textId="77777777" w:rsidR="00E6689B" w:rsidRPr="0069032F" w:rsidRDefault="00E6689B" w:rsidP="00E6689B">
      <w:pPr>
        <w:jc w:val="center"/>
        <w:rPr>
          <w:rFonts w:asciiTheme="minorHAnsi" w:hAnsiTheme="minorHAnsi" w:cstheme="minorHAnsi"/>
          <w:b/>
        </w:rPr>
      </w:pPr>
      <w:r w:rsidRPr="0069032F">
        <w:rPr>
          <w:rFonts w:asciiTheme="minorHAnsi" w:hAnsiTheme="minorHAnsi" w:cstheme="minorHAnsi"/>
          <w:b/>
        </w:rPr>
        <w:t>Bylos aplinkybės</w:t>
      </w:r>
    </w:p>
    <w:p w14:paraId="460890FF" w14:textId="77777777" w:rsidR="00E6689B" w:rsidRPr="00AC57CE" w:rsidRDefault="00E6689B" w:rsidP="00AC57CE"/>
    <w:p w14:paraId="2385A1E9" w14:textId="7E374D9C" w:rsidR="00C8171C" w:rsidRPr="0069032F" w:rsidRDefault="00C8171C" w:rsidP="00E6689B">
      <w:pPr>
        <w:pStyle w:val="c01pointnumerotealtn"/>
        <w:shd w:val="clear" w:color="auto" w:fill="FFFFFF"/>
        <w:spacing w:before="0" w:beforeAutospacing="0" w:after="200"/>
        <w:ind w:left="0" w:firstLine="567"/>
        <w:rPr>
          <w:rFonts w:asciiTheme="minorHAnsi" w:hAnsiTheme="minorHAnsi" w:cstheme="minorHAnsi"/>
          <w:sz w:val="22"/>
          <w:szCs w:val="22"/>
        </w:rPr>
      </w:pPr>
      <w:r w:rsidRPr="0069032F">
        <w:rPr>
          <w:rFonts w:asciiTheme="minorHAnsi" w:hAnsiTheme="minorHAnsi" w:cstheme="minorHAnsi"/>
          <w:sz w:val="22"/>
          <w:szCs w:val="22"/>
        </w:rPr>
        <w:t>Pelno nesiekianti asociacija, ginanti pasyviai rūkančių asmenų teises, kreipėsi į teismą, siekdama uždrausti prekybos centrų valdytojui JS siūlyti tabako gaminius naudojant įrenginį, kuris pasiūlymo pirkti pateikimo momentu vartotojui uždengia įspėjimus apie galimą žalą sveikatai ant tabako gaminių vienetinių pakelių ir bet kokios išorinės pakuotės. Subsidiariai prašė uždrausti JS siūlyti tokias prekes naudojant įrenginį, kuris tik atkuria cigarečių vienetinių pakelių atvaizdą, tačiau nepateikia privalomų įspėjimų apie galimą žalą sveikatai. Bylą nagrinėjusiam teismui kilo klausimas, ar pagal Direktyvos 2014/40 8 straipsnio 8 dalį „vienetinio pakelio atvaizdas“ yra atvaizdas, kuriuo nėra atkartojamas tikroviškas vienetinis cigarečių pakelis, bet vartotojas tą atvaizdą susieja su tokiu vienetiniu pakeliu dėl jo apipavidalinimo, t. y. kontūrų, proporcijų, spalvų ir prekių ženklo logotipo.</w:t>
      </w:r>
    </w:p>
    <w:p w14:paraId="3F98E4B9" w14:textId="73937181" w:rsidR="00154763" w:rsidRDefault="00154763" w:rsidP="00154763">
      <w:pPr>
        <w:tabs>
          <w:tab w:val="left" w:pos="3156"/>
        </w:tabs>
        <w:jc w:val="center"/>
        <w:rPr>
          <w:rFonts w:asciiTheme="minorHAnsi" w:hAnsiTheme="minorHAnsi" w:cstheme="minorHAnsi"/>
          <w:b/>
          <w:bCs/>
        </w:rPr>
      </w:pPr>
      <w:r w:rsidRPr="0069032F">
        <w:rPr>
          <w:rFonts w:asciiTheme="minorHAnsi" w:hAnsiTheme="minorHAnsi" w:cstheme="minorHAnsi"/>
          <w:b/>
          <w:bCs/>
        </w:rPr>
        <w:t>Teisingumo Teismo vertinimas</w:t>
      </w:r>
    </w:p>
    <w:p w14:paraId="7A765B2B" w14:textId="77777777" w:rsidR="00A8579D" w:rsidRPr="0069032F" w:rsidRDefault="00A8579D" w:rsidP="00154763">
      <w:pPr>
        <w:tabs>
          <w:tab w:val="left" w:pos="3156"/>
        </w:tabs>
        <w:jc w:val="center"/>
        <w:rPr>
          <w:rFonts w:asciiTheme="minorHAnsi" w:hAnsiTheme="minorHAnsi" w:cstheme="minorHAnsi"/>
          <w:b/>
          <w:bCs/>
        </w:rPr>
      </w:pPr>
    </w:p>
    <w:p w14:paraId="58A13798" w14:textId="77777777" w:rsidR="00C8171C" w:rsidRPr="00A8579D" w:rsidRDefault="00C8171C" w:rsidP="00A8579D">
      <w:pPr>
        <w:pStyle w:val="Antrat3"/>
        <w:tabs>
          <w:tab w:val="clear" w:pos="567"/>
          <w:tab w:val="left" w:pos="426"/>
        </w:tabs>
        <w:ind w:firstLine="567"/>
      </w:pPr>
      <w:bookmarkStart w:id="70" w:name="_Toc105161270"/>
      <w:r w:rsidRPr="00A8579D">
        <w:t>Dėl vartotojams skirtų tabako pakuočių „atvaizdo“ ir įspėjimų apie galimą žalą sveikatai</w:t>
      </w:r>
      <w:bookmarkEnd w:id="70"/>
    </w:p>
    <w:p w14:paraId="7DD1C585" w14:textId="77777777" w:rsidR="00A8579D" w:rsidRDefault="00A8579D" w:rsidP="00F03225">
      <w:pPr>
        <w:ind w:firstLine="567"/>
        <w:rPr>
          <w:rFonts w:asciiTheme="minorHAnsi" w:hAnsiTheme="minorHAnsi" w:cstheme="minorHAnsi"/>
        </w:rPr>
      </w:pPr>
    </w:p>
    <w:p w14:paraId="14034085" w14:textId="30F338AB" w:rsidR="00F03225" w:rsidRPr="0069032F" w:rsidRDefault="00C8171C" w:rsidP="00F03225">
      <w:pPr>
        <w:ind w:firstLine="567"/>
        <w:rPr>
          <w:rFonts w:asciiTheme="minorHAnsi" w:hAnsiTheme="minorHAnsi" w:cstheme="minorHAnsi"/>
        </w:rPr>
      </w:pPr>
      <w:r w:rsidRPr="0069032F">
        <w:rPr>
          <w:rFonts w:asciiTheme="minorHAnsi" w:hAnsiTheme="minorHAnsi" w:cstheme="minorHAnsi"/>
        </w:rPr>
        <w:t>Direktyvoje naudojama sąvoka „atvaizdas“ 8 straipsnio prasme suprantama taip, kad ji, žinoma, apima tikrovišką vienetinių tabako gaminių pakelių atvaizdavimą, bet juo neapsiriboja ir negali būti suprantama kaip nurodanti tik vienetinių pakelių nuotraukas – ji apima ir atvaizdus, kuriuos vartotojai susieja su tokiais pakeliais. Atvaizdas, kurį vartotojas susieja su vienetiniu tabako gaminio pakeliu, gali sukelti norą pirkti taip pat, kaip tikroviškas atvaizdavimas, o reikalaujami įspėjimai apie galimą žalą sveikatai yra atgrasantys. Vadinasi, plačiai aiškinant sąvoką „vienetinių pakelių atvaizdai“, kaip ji suprantama pagal Direktyvos 2014/40 8 straipsnio 8 dalį, kuri apima ir tokius atvaizdus, atsiranda reikalavimas ant šių atvaizdų pateikti minėtus įspėjimus apie galimą žalą sveikatai, o tai prisideda prie norimo atgrasomojo poveikio, taigi, ir prie žmonių sveikatos apsaugos</w:t>
      </w:r>
      <w:r w:rsidR="00F03225" w:rsidRPr="0069032F">
        <w:rPr>
          <w:rFonts w:asciiTheme="minorHAnsi" w:hAnsiTheme="minorHAnsi" w:cstheme="minorHAnsi"/>
        </w:rPr>
        <w:t>.</w:t>
      </w:r>
    </w:p>
    <w:p w14:paraId="134695FC" w14:textId="77777777" w:rsidR="00F03225" w:rsidRPr="0069032F" w:rsidRDefault="00C8171C" w:rsidP="00F03225">
      <w:pPr>
        <w:ind w:firstLine="567"/>
        <w:rPr>
          <w:rFonts w:asciiTheme="minorHAnsi" w:hAnsiTheme="minorHAnsi" w:cstheme="minorHAnsi"/>
        </w:rPr>
      </w:pPr>
      <w:r w:rsidRPr="0069032F">
        <w:rPr>
          <w:rFonts w:asciiTheme="minorHAnsi" w:hAnsiTheme="minorHAnsi" w:cstheme="minorHAnsi"/>
        </w:rPr>
        <w:t>Sąvoka „vienetinių pakelių atvaizdai“ turi būti suprantama kaip apimanti atvaizdus, kuriuos vartotojas susieja su tokiais pakeliais dėl jų apipavidalinimo, t. y. kontūrų, proporcijų, spalvų ir prekių ženklo logotipo. Kita vertus, prašymą priimti prejudicinį sprendimą pateikusiam teismui palikta įvertinti, ar pagrindinėje byloje ant nagrinėjamų išdavimo automato pasirinkimo mygtukų pateikiami cigarečių prekių ženklų atvaizdai buvo tokie, kuriuos vartotojas susieja su vienetiniais tabako gaminių pakeliais dėl jų apipavidalinimo.</w:t>
      </w:r>
    </w:p>
    <w:p w14:paraId="6997823C" w14:textId="77777777" w:rsidR="00F03225" w:rsidRPr="0069032F" w:rsidRDefault="00C8171C" w:rsidP="00F03225">
      <w:pPr>
        <w:ind w:firstLine="567"/>
        <w:rPr>
          <w:rFonts w:asciiTheme="minorHAnsi" w:hAnsiTheme="minorHAnsi" w:cstheme="minorHAnsi"/>
        </w:rPr>
      </w:pPr>
      <w:r w:rsidRPr="0069032F">
        <w:rPr>
          <w:rFonts w:asciiTheme="minorHAnsi" w:hAnsiTheme="minorHAnsi" w:cstheme="minorHAnsi"/>
        </w:rPr>
        <w:t>Teismas taip pat išaiškino, kad yra draudžiama naudoti vartotojams Sąjungoje skirtus atvaizdus, kuriuose nenurodyta nustatytų įspėjimų apie galimą žalą sveikatai, neatsižvelgiant į prekių, į kurias daroma nuoroda šiuose atvaizduose, pirkimo procesą.</w:t>
      </w:r>
    </w:p>
    <w:p w14:paraId="75EDF729" w14:textId="5CEF763A" w:rsidR="00E6689B" w:rsidRPr="0069032F" w:rsidRDefault="004D029A" w:rsidP="00F03225">
      <w:pPr>
        <w:ind w:firstLine="567"/>
        <w:rPr>
          <w:rFonts w:asciiTheme="minorHAnsi" w:hAnsiTheme="minorHAnsi" w:cstheme="minorHAnsi"/>
        </w:rPr>
      </w:pPr>
      <w:hyperlink r:id="rId28" w:history="1">
        <w:r w:rsidR="00E6689B" w:rsidRPr="0069032F">
          <w:rPr>
            <w:rStyle w:val="Hipersaitas"/>
            <w:rFonts w:asciiTheme="minorHAnsi" w:hAnsiTheme="minorHAnsi" w:cstheme="minorHAnsi"/>
          </w:rPr>
          <w:t>Prieiga internete</w:t>
        </w:r>
      </w:hyperlink>
      <w:r w:rsidR="00E6689B" w:rsidRPr="0069032F">
        <w:rPr>
          <w:rFonts w:asciiTheme="minorHAnsi" w:hAnsiTheme="minorHAnsi" w:cstheme="minorHAnsi"/>
        </w:rPr>
        <w:t xml:space="preserve"> </w:t>
      </w:r>
    </w:p>
    <w:p w14:paraId="4252E793" w14:textId="77777777" w:rsidR="002C5ABC" w:rsidRPr="00FF0FF7" w:rsidRDefault="002C5ABC" w:rsidP="00FF0FF7"/>
    <w:p w14:paraId="2DFCD7B6" w14:textId="2186901A" w:rsidR="0081236B" w:rsidRPr="0069032F" w:rsidRDefault="0081236B" w:rsidP="00A8579D">
      <w:pPr>
        <w:pStyle w:val="Antrat1"/>
      </w:pPr>
      <w:bookmarkStart w:id="71" w:name="_Toc105161271"/>
      <w:r w:rsidRPr="0069032F">
        <w:t xml:space="preserve">LAIKINŲJŲ </w:t>
      </w:r>
      <w:r w:rsidRPr="00A8579D">
        <w:t>APSAUGOS</w:t>
      </w:r>
      <w:r w:rsidRPr="0069032F">
        <w:t xml:space="preserve"> PRIEMONIŲ TAIKYMAS</w:t>
      </w:r>
      <w:bookmarkEnd w:id="71"/>
    </w:p>
    <w:p w14:paraId="57EC3004" w14:textId="77777777" w:rsidR="0081236B" w:rsidRPr="0069032F" w:rsidRDefault="0081236B" w:rsidP="0081236B">
      <w:pPr>
        <w:rPr>
          <w:rFonts w:asciiTheme="minorHAnsi" w:hAnsiTheme="minorHAnsi" w:cstheme="minorHAnsi"/>
          <w:color w:val="002060"/>
          <w:lang w:eastAsia="lt-LT"/>
        </w:rPr>
      </w:pPr>
    </w:p>
    <w:p w14:paraId="1AFAED8F" w14:textId="18104D4D" w:rsidR="0081236B" w:rsidRPr="00A8579D" w:rsidRDefault="0081236B" w:rsidP="00A8579D">
      <w:pPr>
        <w:pStyle w:val="Antrat1"/>
        <w:rPr>
          <w:shd w:val="clear" w:color="auto" w:fill="FFFFFF"/>
        </w:rPr>
      </w:pPr>
      <w:bookmarkStart w:id="72" w:name="_Toc105161272"/>
      <w:r w:rsidRPr="0069032F">
        <w:t xml:space="preserve">2021 m. rugsėjo 20 d. </w:t>
      </w:r>
      <w:r w:rsidRPr="000C30EF">
        <w:t>nutartis</w:t>
      </w:r>
      <w:r w:rsidRPr="0069032F">
        <w:t xml:space="preserve"> byloje </w:t>
      </w:r>
      <w:r w:rsidRPr="00252DD3">
        <w:rPr>
          <w:i/>
          <w:iCs/>
          <w:shd w:val="clear" w:color="auto" w:fill="FFFFFF"/>
        </w:rPr>
        <w:t xml:space="preserve">Čekijos Respublika prieš </w:t>
      </w:r>
      <w:r w:rsidRPr="00252DD3">
        <w:rPr>
          <w:i/>
          <w:iCs/>
        </w:rPr>
        <w:t>Lenkijos</w:t>
      </w:r>
      <w:r w:rsidRPr="00252DD3">
        <w:rPr>
          <w:i/>
          <w:iCs/>
          <w:shd w:val="clear" w:color="auto" w:fill="FFFFFF"/>
        </w:rPr>
        <w:t xml:space="preserve"> Respubliką</w:t>
      </w:r>
      <w:r w:rsidR="00A8579D">
        <w:rPr>
          <w:shd w:val="clear" w:color="auto" w:fill="FFFFFF"/>
        </w:rPr>
        <w:t xml:space="preserve">, </w:t>
      </w:r>
      <w:r w:rsidRPr="0069032F">
        <w:rPr>
          <w:bCs/>
          <w:color w:val="002060"/>
          <w:szCs w:val="22"/>
        </w:rPr>
        <w:t>C</w:t>
      </w:r>
      <w:r w:rsidRPr="0069032F">
        <w:rPr>
          <w:bCs/>
          <w:color w:val="002060"/>
          <w:szCs w:val="22"/>
        </w:rPr>
        <w:noBreakHyphen/>
      </w:r>
      <w:r w:rsidRPr="00A8579D">
        <w:t>121</w:t>
      </w:r>
      <w:r w:rsidRPr="0069032F">
        <w:rPr>
          <w:bCs/>
          <w:color w:val="002060"/>
          <w:szCs w:val="22"/>
        </w:rPr>
        <w:t>/21 R</w:t>
      </w:r>
      <w:bookmarkEnd w:id="72"/>
    </w:p>
    <w:p w14:paraId="27785434" w14:textId="77777777" w:rsidR="0081236B" w:rsidRPr="0069032F" w:rsidRDefault="0081236B" w:rsidP="0081236B">
      <w:pPr>
        <w:ind w:firstLine="567"/>
        <w:jc w:val="center"/>
        <w:rPr>
          <w:rFonts w:asciiTheme="minorHAnsi" w:hAnsiTheme="minorHAnsi" w:cstheme="minorHAnsi"/>
          <w:b/>
          <w:bCs/>
          <w:i/>
          <w:shd w:val="clear" w:color="auto" w:fill="FFFFFF"/>
        </w:rPr>
      </w:pPr>
    </w:p>
    <w:p w14:paraId="4E430CC8" w14:textId="77777777" w:rsidR="0081236B" w:rsidRPr="0069032F" w:rsidRDefault="0081236B" w:rsidP="0081236B">
      <w:pPr>
        <w:tabs>
          <w:tab w:val="left" w:pos="6379"/>
        </w:tabs>
        <w:ind w:firstLine="540"/>
        <w:rPr>
          <w:rFonts w:asciiTheme="minorHAnsi" w:hAnsiTheme="minorHAnsi" w:cstheme="minorHAnsi"/>
          <w:iCs/>
        </w:rPr>
      </w:pPr>
      <w:r w:rsidRPr="0069032F">
        <w:rPr>
          <w:rFonts w:asciiTheme="minorHAnsi" w:hAnsiTheme="minorHAnsi" w:cstheme="minorHAnsi"/>
          <w:iCs/>
        </w:rPr>
        <w:t>Laikinųjų apsaugos priemonių taikymas – SESV 279 straipsnis – Aplinka – Rusvosios anglies (lignito) gavybos veikla atviroje kasykloje – Rusvosios anglies kasykla Turove (Lenkija) – Neįvykdymas – Pasikeitusios aplinkybės – Nebuvimas – Periodinė bauda</w:t>
      </w:r>
    </w:p>
    <w:p w14:paraId="7D4E2FD7" w14:textId="77777777" w:rsidR="0081236B" w:rsidRPr="0069032F" w:rsidRDefault="0081236B" w:rsidP="0081236B">
      <w:pPr>
        <w:tabs>
          <w:tab w:val="left" w:pos="6379"/>
        </w:tabs>
        <w:ind w:firstLine="540"/>
        <w:jc w:val="center"/>
        <w:rPr>
          <w:rFonts w:asciiTheme="minorHAnsi" w:hAnsiTheme="minorHAnsi" w:cstheme="minorHAnsi"/>
          <w:b/>
        </w:rPr>
      </w:pPr>
    </w:p>
    <w:p w14:paraId="3B8E4D7B" w14:textId="77777777" w:rsidR="0081236B" w:rsidRPr="0069032F" w:rsidRDefault="0081236B" w:rsidP="0081236B">
      <w:pPr>
        <w:tabs>
          <w:tab w:val="left" w:pos="6379"/>
        </w:tabs>
        <w:jc w:val="center"/>
        <w:rPr>
          <w:rFonts w:asciiTheme="minorHAnsi" w:hAnsiTheme="minorHAnsi" w:cstheme="minorHAnsi"/>
          <w:b/>
        </w:rPr>
      </w:pPr>
      <w:r w:rsidRPr="0069032F">
        <w:rPr>
          <w:rFonts w:asciiTheme="minorHAnsi" w:hAnsiTheme="minorHAnsi" w:cstheme="minorHAnsi"/>
          <w:b/>
        </w:rPr>
        <w:t>Bylos aplinkybės</w:t>
      </w:r>
    </w:p>
    <w:p w14:paraId="5D3F439F" w14:textId="77777777" w:rsidR="0081236B" w:rsidRPr="0069032F" w:rsidRDefault="0081236B" w:rsidP="0081236B">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5F11FFBB" w14:textId="77777777" w:rsidR="0081236B" w:rsidRPr="0069032F" w:rsidRDefault="0081236B" w:rsidP="0081236B">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 xml:space="preserve"> Prašymu taikyti laikinąsias apsaugos priemones Čekijos Respublika prašė Teisingumo Teismo priteisti iš Lenkijos Respublikos sumokėti į Europos Sąjungos biudžetą 5 mln. EUR dydžio periodinę baudą, </w:t>
      </w:r>
      <w:r w:rsidRPr="0069032F">
        <w:rPr>
          <w:rFonts w:asciiTheme="minorHAnsi" w:hAnsiTheme="minorHAnsi" w:cstheme="minorHAnsi"/>
          <w:iCs/>
          <w:shd w:val="clear" w:color="auto" w:fill="FFFFFF"/>
        </w:rPr>
        <w:lastRenderedPageBreak/>
        <w:t>skaičiuojamą už kiekvieną dieną, už tai, kad ji neįvykdė įsipareigojimų pagal 2021 m. gegužės 21 d. Teisingumo Teismo pirmininko pavaduotojos nutartį </w:t>
      </w:r>
      <w:r w:rsidRPr="0069032F">
        <w:rPr>
          <w:rFonts w:asciiTheme="minorHAnsi" w:hAnsiTheme="minorHAnsi" w:cstheme="minorHAnsi"/>
          <w:i/>
          <w:iCs/>
          <w:shd w:val="clear" w:color="auto" w:fill="FFFFFF"/>
        </w:rPr>
        <w:t>Čekijos Respublika prieš Lenkiją</w:t>
      </w:r>
      <w:r w:rsidRPr="0069032F">
        <w:rPr>
          <w:rFonts w:asciiTheme="minorHAnsi" w:hAnsiTheme="minorHAnsi" w:cstheme="minorHAnsi"/>
          <w:iCs/>
          <w:shd w:val="clear" w:color="auto" w:fill="FFFFFF"/>
        </w:rPr>
        <w:t>, C</w:t>
      </w:r>
      <w:r w:rsidRPr="0069032F">
        <w:rPr>
          <w:rFonts w:asciiTheme="minorHAnsi" w:hAnsiTheme="minorHAnsi" w:cstheme="minorHAnsi"/>
          <w:iCs/>
          <w:shd w:val="clear" w:color="auto" w:fill="FFFFFF"/>
        </w:rPr>
        <w:noBreakHyphen/>
        <w:t xml:space="preserve">121/21 R, kuria Lenkijos Respublika buvo įpareigota nedelsiant nutraukti rusvosios anglies gavybos veiklą </w:t>
      </w:r>
      <w:bookmarkStart w:id="73" w:name="_Hlk100818040"/>
      <w:r w:rsidRPr="0069032F">
        <w:rPr>
          <w:rFonts w:asciiTheme="minorHAnsi" w:hAnsiTheme="minorHAnsi" w:cstheme="minorHAnsi"/>
          <w:iCs/>
          <w:shd w:val="clear" w:color="auto" w:fill="FFFFFF"/>
        </w:rPr>
        <w:t xml:space="preserve">Turovo kasykloje </w:t>
      </w:r>
      <w:bookmarkEnd w:id="73"/>
      <w:r w:rsidRPr="0069032F">
        <w:rPr>
          <w:rFonts w:asciiTheme="minorHAnsi" w:hAnsiTheme="minorHAnsi" w:cstheme="minorHAnsi"/>
          <w:iCs/>
          <w:shd w:val="clear" w:color="auto" w:fill="FFFFFF"/>
        </w:rPr>
        <w:t>iki sprendimo, kuriuo bus užbaigtas bylos C</w:t>
      </w:r>
      <w:r w:rsidRPr="0069032F">
        <w:rPr>
          <w:rFonts w:asciiTheme="minorHAnsi" w:hAnsiTheme="minorHAnsi" w:cstheme="minorHAnsi"/>
          <w:iCs/>
          <w:shd w:val="clear" w:color="auto" w:fill="FFFFFF"/>
        </w:rPr>
        <w:noBreakHyphen/>
        <w:t>121/21 nagrinėjimas, paskelbimo.</w:t>
      </w:r>
    </w:p>
    <w:p w14:paraId="508C8206" w14:textId="77777777" w:rsidR="0081236B" w:rsidRPr="0069032F" w:rsidRDefault="0081236B" w:rsidP="0081236B">
      <w:pPr>
        <w:ind w:firstLine="567"/>
        <w:rPr>
          <w:rFonts w:asciiTheme="minorHAnsi" w:hAnsiTheme="minorHAnsi" w:cstheme="minorHAnsi"/>
          <w:iCs/>
          <w:shd w:val="clear" w:color="auto" w:fill="FFFFFF"/>
        </w:rPr>
      </w:pPr>
      <w:r w:rsidRPr="0069032F">
        <w:rPr>
          <w:rFonts w:asciiTheme="minorHAnsi" w:hAnsiTheme="minorHAnsi" w:cstheme="minorHAnsi"/>
          <w:iCs/>
          <w:shd w:val="clear" w:color="auto" w:fill="FFFFFF"/>
        </w:rPr>
        <w:t>Šis prašymas buvo pateiktas nagrinėjant Čekijos Respublikos 2021 m. vasario 26 d. pareikštą ieškinį dėl įsipareigojimų neįvykdymo pagal SESV 259 straipsnį, susijusių su įvairių ES teisės reikalavimų nesilaikymu, išgaunant rusvąją anglį Turovo kasykloje.</w:t>
      </w:r>
    </w:p>
    <w:p w14:paraId="3964F8E5" w14:textId="77777777" w:rsidR="0081236B" w:rsidRPr="0069032F" w:rsidRDefault="0081236B" w:rsidP="0081236B">
      <w:pPr>
        <w:ind w:firstLine="567"/>
        <w:rPr>
          <w:rFonts w:asciiTheme="minorHAnsi" w:hAnsiTheme="minorHAnsi" w:cstheme="minorHAnsi"/>
          <w:color w:val="000000"/>
          <w:shd w:val="clear" w:color="auto" w:fill="FFFFFF"/>
        </w:rPr>
      </w:pPr>
    </w:p>
    <w:p w14:paraId="71AD456D" w14:textId="77777777" w:rsidR="0081236B" w:rsidRPr="0069032F" w:rsidRDefault="0081236B" w:rsidP="0081236B">
      <w:pPr>
        <w:jc w:val="center"/>
        <w:rPr>
          <w:rFonts w:asciiTheme="minorHAnsi" w:hAnsiTheme="minorHAnsi" w:cstheme="minorHAnsi"/>
          <w:b/>
          <w:bCs/>
          <w:color w:val="000000"/>
          <w:shd w:val="clear" w:color="auto" w:fill="FFFFFF"/>
        </w:rPr>
      </w:pPr>
      <w:r w:rsidRPr="0069032F">
        <w:rPr>
          <w:rFonts w:asciiTheme="minorHAnsi" w:hAnsiTheme="minorHAnsi" w:cstheme="minorHAnsi"/>
          <w:b/>
          <w:bCs/>
          <w:color w:val="000000"/>
          <w:shd w:val="clear" w:color="auto" w:fill="FFFFFF"/>
        </w:rPr>
        <w:t>Teisingumo Teismo vertinimas</w:t>
      </w:r>
    </w:p>
    <w:p w14:paraId="1F4D5771" w14:textId="77777777" w:rsidR="0081236B" w:rsidRPr="0069032F" w:rsidRDefault="0081236B" w:rsidP="0081236B">
      <w:pPr>
        <w:ind w:firstLine="567"/>
        <w:jc w:val="center"/>
        <w:rPr>
          <w:rFonts w:asciiTheme="minorHAnsi" w:hAnsiTheme="minorHAnsi" w:cstheme="minorHAnsi"/>
          <w:b/>
          <w:bCs/>
          <w:color w:val="000000"/>
          <w:shd w:val="clear" w:color="auto" w:fill="FFFFFF"/>
        </w:rPr>
      </w:pPr>
    </w:p>
    <w:p w14:paraId="752052CE" w14:textId="5529FB28" w:rsidR="0081236B" w:rsidRPr="00A8579D" w:rsidRDefault="0081236B" w:rsidP="00A8579D">
      <w:pPr>
        <w:pStyle w:val="Antrat3"/>
        <w:tabs>
          <w:tab w:val="clear" w:pos="567"/>
          <w:tab w:val="left" w:pos="426"/>
        </w:tabs>
        <w:ind w:firstLine="567"/>
      </w:pPr>
      <w:bookmarkStart w:id="74" w:name="_Toc105161273"/>
      <w:r w:rsidRPr="00A8579D">
        <w:t>Dėl</w:t>
      </w:r>
      <w:r w:rsidR="00E0354B">
        <w:t xml:space="preserve"> </w:t>
      </w:r>
      <w:r w:rsidRPr="00A8579D">
        <w:t>laikinųjų apsaugos priemonių taikymo – periodinės baudos priteisimo iš valstybės, nevykdančios įsipareigojimų pagal Teisingumo Teismo nutartį</w:t>
      </w:r>
      <w:bookmarkEnd w:id="74"/>
      <w:r w:rsidRPr="00A8579D">
        <w:t> </w:t>
      </w:r>
    </w:p>
    <w:p w14:paraId="741590FC" w14:textId="77777777" w:rsidR="0081236B" w:rsidRPr="0069032F" w:rsidRDefault="0081236B" w:rsidP="0081236B">
      <w:pPr>
        <w:rPr>
          <w:rFonts w:asciiTheme="minorHAnsi" w:hAnsiTheme="minorHAnsi" w:cstheme="minorHAnsi"/>
          <w:color w:val="000000"/>
          <w:shd w:val="clear" w:color="auto" w:fill="FFFFFF"/>
        </w:rPr>
      </w:pPr>
    </w:p>
    <w:p w14:paraId="7A67FFF7" w14:textId="77777777" w:rsidR="0081236B" w:rsidRPr="0069032F" w:rsidRDefault="0081236B" w:rsidP="0081236B">
      <w:pPr>
        <w:ind w:firstLine="567"/>
        <w:rPr>
          <w:rFonts w:asciiTheme="minorHAnsi" w:hAnsiTheme="minorHAnsi" w:cstheme="minorHAnsi"/>
          <w:color w:val="000000"/>
          <w:u w:val="single"/>
          <w:shd w:val="clear" w:color="auto" w:fill="FFFFFF"/>
        </w:rPr>
      </w:pPr>
      <w:r w:rsidRPr="0069032F">
        <w:rPr>
          <w:rFonts w:asciiTheme="minorHAnsi" w:hAnsiTheme="minorHAnsi" w:cstheme="minorHAnsi"/>
          <w:color w:val="000000"/>
          <w:shd w:val="clear" w:color="auto" w:fill="FFFFFF"/>
        </w:rPr>
        <w:t xml:space="preserve">Teisingumo Teismas nustatė, kad Lenkijos Respublika nesilaikė </w:t>
      </w:r>
      <w:r w:rsidRPr="0069032F">
        <w:rPr>
          <w:rFonts w:asciiTheme="minorHAnsi" w:hAnsiTheme="minorHAnsi" w:cstheme="minorHAnsi"/>
          <w:iCs/>
          <w:color w:val="000000"/>
          <w:shd w:val="clear" w:color="auto" w:fill="FFFFFF"/>
        </w:rPr>
        <w:t xml:space="preserve">2021 m. gegužės 21 d. </w:t>
      </w:r>
      <w:r w:rsidRPr="0069032F">
        <w:rPr>
          <w:rFonts w:asciiTheme="minorHAnsi" w:hAnsiTheme="minorHAnsi" w:cstheme="minorHAnsi"/>
          <w:color w:val="000000"/>
          <w:shd w:val="clear" w:color="auto" w:fill="FFFFFF"/>
        </w:rPr>
        <w:t>nutarties.</w:t>
      </w:r>
      <w:r w:rsidRPr="0069032F">
        <w:rPr>
          <w:rFonts w:asciiTheme="minorHAnsi" w:hAnsiTheme="minorHAnsi" w:cstheme="minorHAnsi"/>
          <w:color w:val="000000"/>
        </w:rPr>
        <w:t xml:space="preserve"> </w:t>
      </w:r>
      <w:r w:rsidRPr="0069032F">
        <w:rPr>
          <w:rFonts w:asciiTheme="minorHAnsi" w:hAnsiTheme="minorHAnsi" w:cstheme="minorHAnsi"/>
          <w:color w:val="000000"/>
          <w:shd w:val="clear" w:color="auto" w:fill="FFFFFF"/>
        </w:rPr>
        <w:t>Tokiomis aplinkybėmis, Teismo vertinimu, būtina sustiprinti 2021 m. gegužės 21 d. nutartyje nustatytų laikinųjų apsaugos priemonių veiksmingumą numatant periodinę baudą Lenkijos Respublikai, siekiant atgrasyti šią valstybę narę delsti imtis priemonių, kad jos veiksmai atitiktų šioje nutartyje nustatytus įpareigojimus.</w:t>
      </w:r>
    </w:p>
    <w:p w14:paraId="02D3A0A5" w14:textId="77777777" w:rsidR="0081236B" w:rsidRPr="0069032F" w:rsidRDefault="0081236B" w:rsidP="0081236B">
      <w:pPr>
        <w:ind w:firstLine="567"/>
        <w:rPr>
          <w:rFonts w:asciiTheme="minorHAnsi" w:eastAsia="Times New Roman" w:hAnsiTheme="minorHAnsi" w:cstheme="minorHAnsi"/>
          <w:bCs/>
          <w:lang w:eastAsia="lt-LT"/>
        </w:rPr>
      </w:pPr>
      <w:r w:rsidRPr="0069032F">
        <w:rPr>
          <w:rFonts w:asciiTheme="minorHAnsi" w:eastAsia="Times New Roman" w:hAnsiTheme="minorHAnsi" w:cstheme="minorHAnsi"/>
          <w:bCs/>
          <w:lang w:eastAsia="lt-LT"/>
        </w:rPr>
        <w:t xml:space="preserve">Dėl periodinės baudos dydžio Teisingumo Teismas pažymėjo, kad </w:t>
      </w:r>
      <w:r w:rsidRPr="0069032F">
        <w:rPr>
          <w:rFonts w:asciiTheme="minorHAnsi" w:eastAsia="Times New Roman" w:hAnsiTheme="minorHAnsi" w:cstheme="minorHAnsi"/>
          <w:bCs/>
          <w:u w:val="single"/>
          <w:lang w:eastAsia="lt-LT"/>
        </w:rPr>
        <w:t>Čekijos Respublikos pateikti pasiūlymai negali saistyti laikinąsias apsaugos priemones taikančio teisėjo, nes jis gali nustatyti tokio dydžio baudą ir tokia forma, kurią mano esant tinkamą, kad paskatintų Lenkijos Respubliką nutraukti įpareigojimų, jai tenkančių pagal 2021 m. gegužės 21 d. nutartį, nevykdymą; skirta periodinė bauda, pirma, turi atitikti aplinkybes ir, antra, būti proporcinga konstatuotam valstybės narės įsipareigojimų nevykdymui bei šios valstybės narės pajėgumui sumokėti</w:t>
      </w:r>
      <w:r w:rsidRPr="0069032F">
        <w:rPr>
          <w:rFonts w:asciiTheme="minorHAnsi" w:eastAsia="Times New Roman" w:hAnsiTheme="minorHAnsi" w:cstheme="minorHAnsi"/>
          <w:bCs/>
          <w:lang w:eastAsia="lt-LT"/>
        </w:rPr>
        <w:t>. Todėl Lenkijos Respublika įpareigota mokėti Komisijai 500 000 eurų periodinę baudą už kiekvieną dieną nuo šios nutarties įteikimo Lenkijos Respublikai dienos, kol ši valstybė narė įvykdys įpareigojimus pagal 2021 m. gegužės 21 d. nutartį.</w:t>
      </w:r>
    </w:p>
    <w:p w14:paraId="0BC67B70" w14:textId="711ACD0C" w:rsidR="0081236B" w:rsidRDefault="004D029A" w:rsidP="0081236B">
      <w:pPr>
        <w:ind w:firstLine="567"/>
        <w:rPr>
          <w:rStyle w:val="Hipersaitas"/>
          <w:rFonts w:asciiTheme="minorHAnsi" w:hAnsiTheme="minorHAnsi" w:cstheme="minorHAnsi"/>
        </w:rPr>
      </w:pPr>
      <w:hyperlink r:id="rId29" w:history="1">
        <w:r w:rsidR="0081236B" w:rsidRPr="0069032F">
          <w:rPr>
            <w:rStyle w:val="Hipersaitas"/>
            <w:rFonts w:asciiTheme="minorHAnsi" w:hAnsiTheme="minorHAnsi" w:cstheme="minorHAnsi"/>
          </w:rPr>
          <w:t>Prieiga internete</w:t>
        </w:r>
      </w:hyperlink>
    </w:p>
    <w:p w14:paraId="2C393BF9" w14:textId="2ABE879D" w:rsidR="001268DF" w:rsidRDefault="001268DF" w:rsidP="0081236B">
      <w:pPr>
        <w:ind w:firstLine="567"/>
        <w:rPr>
          <w:rStyle w:val="Hipersaitas"/>
          <w:rFonts w:asciiTheme="minorHAnsi" w:hAnsiTheme="minorHAnsi" w:cstheme="minorHAnsi"/>
        </w:rPr>
      </w:pPr>
    </w:p>
    <w:p w14:paraId="2BB335EA" w14:textId="726D8893" w:rsidR="001268DF" w:rsidRDefault="001268DF" w:rsidP="001268DF">
      <w:pPr>
        <w:pStyle w:val="Antrat1"/>
      </w:pPr>
      <w:bookmarkStart w:id="75" w:name="_Toc105161274"/>
      <w:r>
        <w:t>NACIONALINIŲ TEISMŲ IR EUROPOS SĄJUNGOS TEISINGUMO TEISMO BENDRADARBIAVIMAS</w:t>
      </w:r>
      <w:bookmarkEnd w:id="75"/>
    </w:p>
    <w:p w14:paraId="6F1D59DF" w14:textId="77777777" w:rsidR="001268DF" w:rsidRDefault="001268DF" w:rsidP="001268DF">
      <w:pPr>
        <w:tabs>
          <w:tab w:val="left" w:pos="6379"/>
        </w:tabs>
        <w:ind w:firstLine="540"/>
        <w:jc w:val="center"/>
        <w:rPr>
          <w:rFonts w:asciiTheme="minorHAnsi" w:hAnsiTheme="minorHAnsi" w:cstheme="minorHAnsi"/>
          <w:b/>
          <w:bCs/>
        </w:rPr>
      </w:pPr>
    </w:p>
    <w:p w14:paraId="4F726759" w14:textId="4343E703" w:rsidR="001268DF" w:rsidRPr="006F7496" w:rsidRDefault="001268DF" w:rsidP="001268DF">
      <w:pPr>
        <w:pStyle w:val="Antrat1"/>
      </w:pPr>
      <w:bookmarkStart w:id="76" w:name="_Toc105161275"/>
      <w:r>
        <w:t xml:space="preserve">Didžiosios kolegijos </w:t>
      </w:r>
      <w:r w:rsidRPr="0078326C">
        <w:t xml:space="preserve">2021 m. spalio 6 d. </w:t>
      </w:r>
      <w:r w:rsidRPr="006F7496">
        <w:t xml:space="preserve">sprendimas byloje </w:t>
      </w:r>
      <w:r w:rsidRPr="0078326C">
        <w:rPr>
          <w:i/>
          <w:iCs/>
        </w:rPr>
        <w:t>Catania Multiservizi SpA</w:t>
      </w:r>
      <w:r>
        <w:rPr>
          <w:i/>
          <w:iCs/>
        </w:rPr>
        <w:t>,</w:t>
      </w:r>
      <w:r w:rsidRPr="006F7496">
        <w:t xml:space="preserve"> C</w:t>
      </w:r>
      <w:r w:rsidRPr="006F7496">
        <w:rPr>
          <w:rFonts w:ascii="Cambria Math" w:hAnsi="Cambria Math" w:cs="Cambria Math"/>
        </w:rPr>
        <w:t>‑</w:t>
      </w:r>
      <w:r w:rsidRPr="006F7496">
        <w:t>281/20</w:t>
      </w:r>
      <w:bookmarkEnd w:id="76"/>
    </w:p>
    <w:p w14:paraId="72F3AA3B" w14:textId="77777777" w:rsidR="001268DF" w:rsidRPr="006F7496" w:rsidRDefault="001268DF" w:rsidP="001268DF">
      <w:pPr>
        <w:tabs>
          <w:tab w:val="left" w:pos="6379"/>
        </w:tabs>
        <w:ind w:firstLine="540"/>
        <w:rPr>
          <w:rFonts w:asciiTheme="minorHAnsi" w:hAnsiTheme="minorHAnsi" w:cstheme="minorHAnsi"/>
        </w:rPr>
      </w:pPr>
    </w:p>
    <w:p w14:paraId="08D67EAA" w14:textId="77777777" w:rsidR="001268DF" w:rsidRPr="006F7496" w:rsidRDefault="001268DF" w:rsidP="001268DF">
      <w:pPr>
        <w:tabs>
          <w:tab w:val="left" w:pos="6379"/>
        </w:tabs>
        <w:ind w:firstLine="540"/>
        <w:rPr>
          <w:rFonts w:asciiTheme="minorHAnsi" w:hAnsiTheme="minorHAnsi" w:cstheme="minorHAnsi"/>
        </w:rPr>
      </w:pPr>
      <w:r w:rsidRPr="0078326C">
        <w:rPr>
          <w:rFonts w:asciiTheme="minorHAnsi" w:hAnsiTheme="minorHAnsi" w:cstheme="minorHAnsi"/>
        </w:rPr>
        <w:t>Nacionalinių galutinės instancijos teismų pareigos pateikti prašymą priimti prejudicinį sprendimą apimtis – Šios pareigos išimtys – Kriterijai – Sąjungos teisės aiškinimo klausimas, kurį nacionalinės bylos šalys iškėlė po to, kai Teisingumo Teismas priėmė prejudicinį sprendimą šioje byloje – Priežasčių, pateisinančių būtinybę atsakyti į prejudicinius klausimus, nenurodymas – Prašymo priimti prejudicinį sprendimą dalinis nepriimtinumas</w:t>
      </w:r>
    </w:p>
    <w:p w14:paraId="27C60285" w14:textId="77777777" w:rsidR="001268DF" w:rsidRPr="006F7496" w:rsidRDefault="001268DF" w:rsidP="001268DF">
      <w:pPr>
        <w:tabs>
          <w:tab w:val="left" w:pos="6379"/>
        </w:tabs>
        <w:rPr>
          <w:rFonts w:asciiTheme="minorHAnsi" w:hAnsiTheme="minorHAnsi" w:cstheme="minorHAnsi"/>
        </w:rPr>
      </w:pPr>
    </w:p>
    <w:p w14:paraId="725B7C15" w14:textId="77777777" w:rsidR="001268DF" w:rsidRPr="006F7496" w:rsidRDefault="001268DF" w:rsidP="001268DF">
      <w:pPr>
        <w:tabs>
          <w:tab w:val="left" w:pos="6379"/>
        </w:tabs>
        <w:jc w:val="center"/>
        <w:rPr>
          <w:rFonts w:asciiTheme="minorHAnsi" w:hAnsiTheme="minorHAnsi" w:cstheme="minorHAnsi"/>
          <w:b/>
          <w:bCs/>
        </w:rPr>
      </w:pPr>
      <w:r w:rsidRPr="006F7496">
        <w:rPr>
          <w:rFonts w:asciiTheme="minorHAnsi" w:hAnsiTheme="minorHAnsi" w:cstheme="minorHAnsi"/>
          <w:b/>
          <w:bCs/>
        </w:rPr>
        <w:t>Bylos aplinkybės</w:t>
      </w:r>
    </w:p>
    <w:p w14:paraId="3AB434AE" w14:textId="77777777" w:rsidR="001268DF" w:rsidRPr="006F7496" w:rsidRDefault="001268DF" w:rsidP="001268DF">
      <w:pPr>
        <w:tabs>
          <w:tab w:val="left" w:pos="6379"/>
        </w:tabs>
        <w:rPr>
          <w:rFonts w:asciiTheme="minorHAnsi" w:hAnsiTheme="minorHAnsi" w:cstheme="minorHAnsi"/>
        </w:rPr>
      </w:pPr>
    </w:p>
    <w:p w14:paraId="2E55C536" w14:textId="77777777" w:rsidR="001268DF" w:rsidRPr="006F7496" w:rsidRDefault="001268DF" w:rsidP="001268DF">
      <w:pPr>
        <w:tabs>
          <w:tab w:val="left" w:pos="6379"/>
        </w:tabs>
        <w:ind w:firstLine="540"/>
        <w:rPr>
          <w:rFonts w:asciiTheme="minorHAnsi" w:hAnsiTheme="minorHAnsi" w:cstheme="minorHAnsi"/>
        </w:rPr>
      </w:pPr>
      <w:r w:rsidRPr="00B85951">
        <w:rPr>
          <w:rFonts w:asciiTheme="minorHAnsi" w:hAnsiTheme="minorHAnsi" w:cstheme="minorHAnsi"/>
        </w:rPr>
        <w:t>Italij</w:t>
      </w:r>
      <w:r>
        <w:rPr>
          <w:rFonts w:asciiTheme="minorHAnsi" w:hAnsiTheme="minorHAnsi" w:cstheme="minorHAnsi"/>
        </w:rPr>
        <w:t>os</w:t>
      </w:r>
      <w:r w:rsidRPr="00B85951">
        <w:rPr>
          <w:rFonts w:asciiTheme="minorHAnsi" w:hAnsiTheme="minorHAnsi" w:cstheme="minorHAnsi"/>
        </w:rPr>
        <w:t xml:space="preserve"> galutinės instancijos teismas kreipėsi į Teisingumo Teismą su prašymu priimti prejudicinį sprendimą nagrinėjant bylą dėl, be kita ko, Italijos geležinkelio stočių valymo paslaugų viešojo pirkimo sutarties. Teisingumo Teism</w:t>
      </w:r>
      <w:r>
        <w:rPr>
          <w:rFonts w:asciiTheme="minorHAnsi" w:hAnsiTheme="minorHAnsi" w:cstheme="minorHAnsi"/>
        </w:rPr>
        <w:t>ui</w:t>
      </w:r>
      <w:r w:rsidRPr="00B85951">
        <w:rPr>
          <w:rFonts w:asciiTheme="minorHAnsi" w:hAnsiTheme="minorHAnsi" w:cstheme="minorHAnsi"/>
        </w:rPr>
        <w:t xml:space="preserve"> priėm</w:t>
      </w:r>
      <w:r>
        <w:rPr>
          <w:rFonts w:asciiTheme="minorHAnsi" w:hAnsiTheme="minorHAnsi" w:cstheme="minorHAnsi"/>
        </w:rPr>
        <w:t>us</w:t>
      </w:r>
      <w:r w:rsidRPr="00B85951">
        <w:rPr>
          <w:rFonts w:asciiTheme="minorHAnsi" w:hAnsiTheme="minorHAnsi" w:cstheme="minorHAnsi"/>
        </w:rPr>
        <w:t xml:space="preserve"> sprendimą</w:t>
      </w:r>
      <w:r>
        <w:rPr>
          <w:rFonts w:asciiTheme="minorHAnsi" w:hAnsiTheme="minorHAnsi" w:cstheme="minorHAnsi"/>
        </w:rPr>
        <w:t xml:space="preserve">, pagrindinės </w:t>
      </w:r>
      <w:r w:rsidRPr="00B85951">
        <w:rPr>
          <w:rFonts w:asciiTheme="minorHAnsi" w:hAnsiTheme="minorHAnsi" w:cstheme="minorHAnsi"/>
        </w:rPr>
        <w:t xml:space="preserve">bylos šalys paprašė prašymą priimti prejudicinį sprendimą pateikusio teismo </w:t>
      </w:r>
      <w:r>
        <w:rPr>
          <w:rFonts w:asciiTheme="minorHAnsi" w:hAnsiTheme="minorHAnsi" w:cstheme="minorHAnsi"/>
        </w:rPr>
        <w:t xml:space="preserve">Teisingumo Teismui </w:t>
      </w:r>
      <w:r w:rsidRPr="00B85951">
        <w:rPr>
          <w:rFonts w:asciiTheme="minorHAnsi" w:hAnsiTheme="minorHAnsi" w:cstheme="minorHAnsi"/>
        </w:rPr>
        <w:t>pateikti kitus prejudicinius klausimus.</w:t>
      </w:r>
      <w:r>
        <w:rPr>
          <w:rFonts w:asciiTheme="minorHAnsi" w:hAnsiTheme="minorHAnsi" w:cstheme="minorHAnsi"/>
        </w:rPr>
        <w:t xml:space="preserve"> </w:t>
      </w:r>
    </w:p>
    <w:p w14:paraId="2B7B85D4" w14:textId="77777777" w:rsidR="001268DF" w:rsidRPr="006F7496" w:rsidRDefault="001268DF" w:rsidP="001268DF">
      <w:pPr>
        <w:tabs>
          <w:tab w:val="left" w:pos="6379"/>
        </w:tabs>
        <w:rPr>
          <w:rFonts w:asciiTheme="minorHAnsi" w:hAnsiTheme="minorHAnsi" w:cstheme="minorHAnsi"/>
        </w:rPr>
      </w:pPr>
    </w:p>
    <w:p w14:paraId="3CC9EE5B" w14:textId="77777777" w:rsidR="001268DF" w:rsidRPr="006F7496" w:rsidRDefault="001268DF" w:rsidP="001268DF">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29C9F8D2" w14:textId="77777777" w:rsidR="001268DF" w:rsidRPr="006F7496" w:rsidRDefault="001268DF" w:rsidP="001268DF">
      <w:pPr>
        <w:tabs>
          <w:tab w:val="left" w:pos="6379"/>
        </w:tabs>
        <w:ind w:firstLine="540"/>
        <w:rPr>
          <w:rFonts w:asciiTheme="minorHAnsi" w:hAnsiTheme="minorHAnsi" w:cstheme="minorHAnsi"/>
        </w:rPr>
      </w:pPr>
    </w:p>
    <w:p w14:paraId="445B4903" w14:textId="77777777" w:rsidR="001268DF" w:rsidRPr="00F66F5E" w:rsidRDefault="001268DF" w:rsidP="00F66F5E">
      <w:pPr>
        <w:pStyle w:val="Antrat3"/>
        <w:tabs>
          <w:tab w:val="clear" w:pos="567"/>
          <w:tab w:val="left" w:pos="426"/>
        </w:tabs>
        <w:ind w:firstLine="567"/>
      </w:pPr>
      <w:bookmarkStart w:id="77" w:name="_Toc105161276"/>
      <w:r w:rsidRPr="00F66F5E">
        <w:t>Dėl galutinės instancijos teismo pareigos kreiptis į Teisingumo Teismą dėl prejudicinio sprendimo priėmimo</w:t>
      </w:r>
      <w:bookmarkEnd w:id="77"/>
    </w:p>
    <w:p w14:paraId="7D0CBED2" w14:textId="77777777" w:rsidR="001268DF" w:rsidRPr="006F7496" w:rsidRDefault="001268DF" w:rsidP="001268DF">
      <w:pPr>
        <w:tabs>
          <w:tab w:val="left" w:pos="6379"/>
        </w:tabs>
        <w:ind w:firstLine="540"/>
        <w:rPr>
          <w:rFonts w:asciiTheme="minorHAnsi" w:hAnsiTheme="minorHAnsi" w:cstheme="minorHAnsi"/>
        </w:rPr>
      </w:pPr>
    </w:p>
    <w:p w14:paraId="6D016A1C" w14:textId="1B4588F9" w:rsidR="001268DF" w:rsidRPr="006F7496" w:rsidRDefault="001268DF" w:rsidP="001268DF">
      <w:pPr>
        <w:tabs>
          <w:tab w:val="left" w:pos="6379"/>
        </w:tabs>
        <w:ind w:firstLine="540"/>
        <w:rPr>
          <w:rFonts w:asciiTheme="minorHAnsi" w:hAnsiTheme="minorHAnsi" w:cstheme="minorHAnsi"/>
        </w:rPr>
      </w:pPr>
      <w:r>
        <w:rPr>
          <w:rFonts w:asciiTheme="minorHAnsi" w:hAnsiTheme="minorHAnsi" w:cstheme="minorHAnsi"/>
        </w:rPr>
        <w:t>P</w:t>
      </w:r>
      <w:r w:rsidRPr="00B85951">
        <w:rPr>
          <w:rFonts w:asciiTheme="minorHAnsi" w:hAnsiTheme="minorHAnsi" w:cstheme="minorHAnsi"/>
        </w:rPr>
        <w:t>rašymą priimti prejudicinį sprendimą pateikęs teismas iš esmės siek</w:t>
      </w:r>
      <w:r>
        <w:rPr>
          <w:rFonts w:asciiTheme="minorHAnsi" w:hAnsiTheme="minorHAnsi" w:cstheme="minorHAnsi"/>
        </w:rPr>
        <w:t>ė</w:t>
      </w:r>
      <w:r w:rsidRPr="00B85951">
        <w:rPr>
          <w:rFonts w:asciiTheme="minorHAnsi" w:hAnsiTheme="minorHAnsi" w:cstheme="minorHAnsi"/>
        </w:rPr>
        <w:t xml:space="preserve"> išsiaiškinti, ar SESV 267</w:t>
      </w:r>
      <w:r w:rsidR="009E1656">
        <w:rPr>
          <w:rFonts w:asciiTheme="minorHAnsi" w:hAnsiTheme="minorHAnsi" w:cstheme="minorHAnsi"/>
        </w:rPr>
        <w:t> </w:t>
      </w:r>
      <w:r w:rsidRPr="00B85951">
        <w:rPr>
          <w:rFonts w:asciiTheme="minorHAnsi" w:hAnsiTheme="minorHAnsi" w:cstheme="minorHAnsi"/>
        </w:rPr>
        <w:t xml:space="preserve">straipsnis turi būti aiškinamas taip, kad nacionalinis teismas, kurio sprendimai pagal nacionalinę teisę negali būti skundžiami teismine tvarka, atleidžiamas nuo šio straipsnio trečioje pastraipoje numatytos pareigos kreiptis į Teisingumo Teismą su klausimu dėl Sąjungos teisės išaiškinimo, jeigu šalis šį klausimą </w:t>
      </w:r>
      <w:r w:rsidRPr="00B85951">
        <w:rPr>
          <w:rFonts w:asciiTheme="minorHAnsi" w:hAnsiTheme="minorHAnsi" w:cstheme="minorHAnsi"/>
        </w:rPr>
        <w:lastRenderedPageBreak/>
        <w:t>iškelia vėlesnėje proceso stadijoje po to, kai buvo pradėti pasitarimai byloje arba pateiktas pirmasis prašymas priimti prejudicinį sprendimą toje byloje.</w:t>
      </w:r>
    </w:p>
    <w:p w14:paraId="6A509CB2" w14:textId="6A42FA22" w:rsidR="001268DF" w:rsidRPr="0076329A" w:rsidRDefault="001268DF" w:rsidP="001268DF">
      <w:pPr>
        <w:tabs>
          <w:tab w:val="left" w:pos="6379"/>
        </w:tabs>
        <w:ind w:firstLine="540"/>
        <w:rPr>
          <w:rFonts w:asciiTheme="minorHAnsi" w:hAnsiTheme="minorHAnsi" w:cstheme="minorHAnsi"/>
        </w:rPr>
      </w:pPr>
      <w:r w:rsidRPr="00D450F0">
        <w:rPr>
          <w:rFonts w:asciiTheme="minorHAnsi" w:hAnsiTheme="minorHAnsi" w:cstheme="minorHAnsi"/>
        </w:rPr>
        <w:t>Teisingumo Teismas konstatavo, kad nacionalinis galutinės instancijos teismas negali būti atleistas nuo pareigos pateikti prašymą priimti prejudicinį sprendimą vien dėl to, kad jau kreipėsi į Teisingumo Teismą su prašymu priimti prejudicinį sprendimą toje pačioje byloje</w:t>
      </w:r>
      <w:r w:rsidRPr="006F7496">
        <w:rPr>
          <w:rFonts w:asciiTheme="minorHAnsi" w:hAnsiTheme="minorHAnsi" w:cstheme="minorHAnsi"/>
        </w:rPr>
        <w:t>.</w:t>
      </w:r>
      <w:r>
        <w:rPr>
          <w:rFonts w:asciiTheme="minorHAnsi" w:hAnsiTheme="minorHAnsi" w:cstheme="minorHAnsi"/>
        </w:rPr>
        <w:t xml:space="preserve"> </w:t>
      </w:r>
      <w:r w:rsidRPr="00D450F0">
        <w:rPr>
          <w:rFonts w:asciiTheme="minorHAnsi" w:hAnsiTheme="minorHAnsi" w:cstheme="minorHAnsi"/>
        </w:rPr>
        <w:t xml:space="preserve">Sprendime </w:t>
      </w:r>
      <w:r w:rsidRPr="0015071F">
        <w:rPr>
          <w:rFonts w:asciiTheme="minorHAnsi" w:hAnsiTheme="minorHAnsi" w:cstheme="minorHAnsi"/>
          <w:i/>
          <w:iCs/>
        </w:rPr>
        <w:t>Cilfit</w:t>
      </w:r>
      <w:r w:rsidRPr="0038122D">
        <w:rPr>
          <w:rStyle w:val="Puslapioinaosnuoroda"/>
          <w:rFonts w:asciiTheme="minorHAnsi" w:hAnsiTheme="minorHAnsi" w:cstheme="minorHAnsi"/>
        </w:rPr>
        <w:footnoteReference w:id="22"/>
      </w:r>
      <w:r w:rsidR="00E0354B">
        <w:rPr>
          <w:rFonts w:asciiTheme="minorHAnsi" w:hAnsiTheme="minorHAnsi" w:cstheme="minorHAnsi"/>
        </w:rPr>
        <w:t xml:space="preserve"> </w:t>
      </w:r>
      <w:r w:rsidRPr="0038122D">
        <w:rPr>
          <w:rFonts w:asciiTheme="minorHAnsi" w:hAnsiTheme="minorHAnsi" w:cstheme="minorHAnsi"/>
        </w:rPr>
        <w:t>buvo</w:t>
      </w:r>
      <w:r>
        <w:rPr>
          <w:rFonts w:asciiTheme="minorHAnsi" w:hAnsiTheme="minorHAnsi" w:cstheme="minorHAnsi"/>
          <w:i/>
          <w:iCs/>
        </w:rPr>
        <w:t xml:space="preserve"> </w:t>
      </w:r>
      <w:r>
        <w:rPr>
          <w:rFonts w:asciiTheme="minorHAnsi" w:hAnsiTheme="minorHAnsi" w:cstheme="minorHAnsi"/>
        </w:rPr>
        <w:t xml:space="preserve">numatytos </w:t>
      </w:r>
      <w:r w:rsidRPr="0038122D">
        <w:rPr>
          <w:rFonts w:asciiTheme="minorHAnsi" w:hAnsiTheme="minorHAnsi" w:cstheme="minorHAnsi"/>
        </w:rPr>
        <w:t>trys situacijos, kai nacionaliniai galutinės instancijos teismai neprivalo pateikti prašymo priimti prejudicinį sprendimą:</w:t>
      </w:r>
      <w:r>
        <w:rPr>
          <w:rFonts w:asciiTheme="minorHAnsi" w:hAnsiTheme="minorHAnsi" w:cstheme="minorHAnsi"/>
        </w:rPr>
        <w:t xml:space="preserve"> </w:t>
      </w:r>
      <w:r w:rsidRPr="0038122D">
        <w:rPr>
          <w:rFonts w:asciiTheme="minorHAnsi" w:hAnsiTheme="minorHAnsi" w:cstheme="minorHAnsi"/>
        </w:rPr>
        <w:t>i) klausimas neturi reikšmės sprendžiant ginčą;</w:t>
      </w:r>
      <w:r>
        <w:rPr>
          <w:rFonts w:asciiTheme="minorHAnsi" w:hAnsiTheme="minorHAnsi" w:cstheme="minorHAnsi"/>
        </w:rPr>
        <w:t xml:space="preserve"> </w:t>
      </w:r>
      <w:r w:rsidRPr="0038122D">
        <w:rPr>
          <w:rFonts w:asciiTheme="minorHAnsi" w:hAnsiTheme="minorHAnsi" w:cstheme="minorHAnsi"/>
        </w:rPr>
        <w:t>ii) atitinkamą Sąjungos teisės nuostatą Teisingumo Teismas jau yra išaiškinęs;</w:t>
      </w:r>
      <w:r>
        <w:rPr>
          <w:rFonts w:asciiTheme="minorHAnsi" w:hAnsiTheme="minorHAnsi" w:cstheme="minorHAnsi"/>
        </w:rPr>
        <w:t xml:space="preserve"> </w:t>
      </w:r>
      <w:r w:rsidRPr="0038122D">
        <w:rPr>
          <w:rFonts w:asciiTheme="minorHAnsi" w:hAnsiTheme="minorHAnsi" w:cstheme="minorHAnsi"/>
        </w:rPr>
        <w:t>iii) teisingas Sąjungos teisės aiškinimas yra toks akivaizdus, jog nelieka jokių pagrįstų abejonių.</w:t>
      </w:r>
      <w:r>
        <w:rPr>
          <w:rFonts w:asciiTheme="minorHAnsi" w:hAnsiTheme="minorHAnsi" w:cstheme="minorHAnsi"/>
        </w:rPr>
        <w:t xml:space="preserve"> Aiškindamas paskutiniąją nurodytą situaciją, Teisingumo Teismas nurodė, kad </w:t>
      </w:r>
      <w:r w:rsidRPr="00542353">
        <w:rPr>
          <w:rFonts w:asciiTheme="minorHAnsi" w:hAnsiTheme="minorHAnsi" w:cstheme="minorHAnsi"/>
          <w:u w:val="single"/>
        </w:rPr>
        <w:t>vien to, kad Sąjungos teisės nuostatą galima aiškinti skirtingai, nepakanka manyti, jog yra pagrįstų abejonių dėl teisingo jos aiškinimo. Vis dėlto, jeigu nacionaliniam galutinės instancijos teismui buvo nurodyta nevienoda tos pačios valstybės narės teismų arba įvairių valstybių narių teismų jurisprudencija dėl pagrindinėje byloje taikytinos Sąjungos teisės nuostatos aiškinimo, jis turi būti ypač atidus vertindamas, ar nėra pagrįstų abejonių dėl teisingo tos nuostatos aiškinimo. Nacionaliniai galutinės instancijos teismai turi patys savarankiškai ir atidžiai įvertinti, ar jų nagrinėjamoje byloje yra viena iš trijų situacijų, kai galima nepateikti Teisingumo Teismui joje iškelto Sąjungos teisės aiškinimo klausimo</w:t>
      </w:r>
      <w:r w:rsidRPr="0076329A">
        <w:rPr>
          <w:rFonts w:asciiTheme="minorHAnsi" w:hAnsiTheme="minorHAnsi" w:cstheme="minorHAnsi"/>
        </w:rPr>
        <w:t xml:space="preserve">. </w:t>
      </w:r>
      <w:r w:rsidRPr="0076329A">
        <w:rPr>
          <w:rFonts w:asciiTheme="minorHAnsi" w:hAnsiTheme="minorHAnsi" w:cstheme="minorHAnsi"/>
          <w:u w:val="single"/>
        </w:rPr>
        <w:t>Jeigu toks teismas mano, kad yra atleistas nuo pareigos kreiptis į Teisingumo Teismą, jis savo sprendime turi nurodyti motyvus, patvirtinančius, kad jo nagrinėjamoje byloje yra viena iš šių trijų situacijų</w:t>
      </w:r>
      <w:r w:rsidRPr="0076329A">
        <w:rPr>
          <w:rFonts w:asciiTheme="minorHAnsi" w:hAnsiTheme="minorHAnsi" w:cstheme="minorHAnsi"/>
        </w:rPr>
        <w:t>.</w:t>
      </w:r>
      <w:r>
        <w:rPr>
          <w:rFonts w:asciiTheme="minorHAnsi" w:hAnsiTheme="minorHAnsi" w:cstheme="minorHAnsi"/>
        </w:rPr>
        <w:t xml:space="preserve"> Be to, Teisingumo Teismo manymu, </w:t>
      </w:r>
      <w:r w:rsidRPr="008C3B5D">
        <w:rPr>
          <w:rFonts w:asciiTheme="minorHAnsi" w:hAnsiTheme="minorHAnsi" w:cstheme="minorHAnsi"/>
          <w:u w:val="single"/>
        </w:rPr>
        <w:t>jeigu klausimas dėl Sąjungos teisės išaiškinimo nepatenka į nė vieną iš šių situacijų, galutinės instancijos teismas privalo kreiptis į Teisingumo Teismą</w:t>
      </w:r>
      <w:r w:rsidRPr="0076329A">
        <w:rPr>
          <w:rFonts w:asciiTheme="minorHAnsi" w:hAnsiTheme="minorHAnsi" w:cstheme="minorHAnsi"/>
        </w:rPr>
        <w:t xml:space="preserve">. </w:t>
      </w:r>
      <w:r w:rsidRPr="008C3B5D">
        <w:rPr>
          <w:rFonts w:asciiTheme="minorHAnsi" w:hAnsiTheme="minorHAnsi" w:cstheme="minorHAnsi"/>
          <w:u w:val="single"/>
        </w:rPr>
        <w:t>Tai, kad toks teismas jau kreipėsi į Teisingumo Teismą su prašymu priimti prejudicinį sprendimą toje pačioje nacionalinėje byloje, nepanaikina pareigos pateikti prašymą priimti prejudicinį sprendimą, jeigu Teisingumo Teismui priėmus sprendimą lieka neatsakyta į Sąjungos teisės aiškinimo klausimą, o atsakymas į jį būtinas sprendžiant ginčą</w:t>
      </w:r>
      <w:r w:rsidRPr="0076329A">
        <w:rPr>
          <w:rFonts w:asciiTheme="minorHAnsi" w:hAnsiTheme="minorHAnsi" w:cstheme="minorHAnsi"/>
        </w:rPr>
        <w:t>.</w:t>
      </w:r>
    </w:p>
    <w:p w14:paraId="3198417D" w14:textId="727DE46C" w:rsidR="001268DF" w:rsidRPr="0038122D" w:rsidRDefault="001268DF" w:rsidP="001268DF">
      <w:pPr>
        <w:tabs>
          <w:tab w:val="left" w:pos="6379"/>
        </w:tabs>
        <w:ind w:firstLine="540"/>
        <w:rPr>
          <w:rStyle w:val="Hipersaitas"/>
          <w:rFonts w:asciiTheme="minorHAnsi" w:hAnsiTheme="minorHAnsi" w:cstheme="minorHAnsi"/>
        </w:rPr>
      </w:pPr>
      <w:r>
        <w:rPr>
          <w:rFonts w:asciiTheme="minorHAnsi" w:hAnsiTheme="minorHAnsi" w:cstheme="minorHAnsi"/>
        </w:rPr>
        <w:fldChar w:fldCharType="begin"/>
      </w:r>
      <w:r w:rsidR="009E1656">
        <w:rPr>
          <w:rFonts w:asciiTheme="minorHAnsi" w:hAnsiTheme="minorHAnsi" w:cstheme="minorHAnsi"/>
        </w:rPr>
        <w:instrText>HYPERLINK "https://curia.europa.eu/juris/document/document.jsf?text=&amp;docid=247052&amp;pageIndex=0&amp;doclang=LT&amp;mode=lst&amp;dir=&amp;occ=first&amp;part=1&amp;cid=524813"</w:instrText>
      </w:r>
      <w:r>
        <w:rPr>
          <w:rFonts w:asciiTheme="minorHAnsi" w:hAnsiTheme="minorHAnsi" w:cstheme="minorHAnsi"/>
        </w:rPr>
        <w:fldChar w:fldCharType="separate"/>
      </w:r>
      <w:r w:rsidRPr="0038122D">
        <w:rPr>
          <w:rStyle w:val="Hipersaitas"/>
          <w:rFonts w:asciiTheme="minorHAnsi" w:hAnsiTheme="minorHAnsi" w:cstheme="minorHAnsi"/>
        </w:rPr>
        <w:t>Prieiga internete</w:t>
      </w:r>
    </w:p>
    <w:p w14:paraId="6A6568CD" w14:textId="391536AC" w:rsidR="001268DF" w:rsidRDefault="001268DF" w:rsidP="001268DF">
      <w:pPr>
        <w:ind w:firstLine="567"/>
        <w:rPr>
          <w:rStyle w:val="Hipersaitas"/>
          <w:rFonts w:asciiTheme="minorHAnsi" w:hAnsiTheme="minorHAnsi" w:cstheme="minorHAnsi"/>
        </w:rPr>
      </w:pPr>
      <w:r>
        <w:rPr>
          <w:rFonts w:asciiTheme="minorHAnsi" w:hAnsiTheme="minorHAnsi" w:cstheme="minorHAnsi"/>
        </w:rPr>
        <w:fldChar w:fldCharType="end"/>
      </w:r>
    </w:p>
    <w:p w14:paraId="55BC86EF" w14:textId="50F274EE" w:rsidR="00426307" w:rsidRDefault="001268DF" w:rsidP="001268DF">
      <w:pPr>
        <w:pStyle w:val="Antrat1"/>
      </w:pPr>
      <w:bookmarkStart w:id="78" w:name="_Toc105161277"/>
      <w:r>
        <w:t>IEŠKINIAI DĖL PANAIKINIMO</w:t>
      </w:r>
      <w:bookmarkEnd w:id="78"/>
    </w:p>
    <w:p w14:paraId="3192A5F2" w14:textId="77777777" w:rsidR="00426307" w:rsidRDefault="00426307" w:rsidP="00426307">
      <w:pPr>
        <w:tabs>
          <w:tab w:val="left" w:pos="6379"/>
        </w:tabs>
        <w:jc w:val="center"/>
        <w:rPr>
          <w:rFonts w:asciiTheme="minorHAnsi" w:hAnsiTheme="minorHAnsi" w:cstheme="minorHAnsi"/>
          <w:b/>
          <w:bCs/>
          <w:color w:val="000000"/>
        </w:rPr>
      </w:pPr>
    </w:p>
    <w:p w14:paraId="0FA6A69D" w14:textId="48BC60F2" w:rsidR="00426307" w:rsidRPr="00AC018B" w:rsidRDefault="00426307" w:rsidP="00426307">
      <w:pPr>
        <w:pStyle w:val="Antrat1"/>
      </w:pPr>
      <w:bookmarkStart w:id="79" w:name="_Toc105161278"/>
      <w:r w:rsidRPr="00426307">
        <w:t>Didžiosios kolegijos 2021 m. liepos 15 d.</w:t>
      </w:r>
      <w:r w:rsidRPr="00AC018B">
        <w:t xml:space="preserve"> sprendimas byloje </w:t>
      </w:r>
      <w:r w:rsidRPr="00AC018B">
        <w:rPr>
          <w:i/>
          <w:iCs/>
        </w:rPr>
        <w:t>Fédération bancaire française (FBF)</w:t>
      </w:r>
      <w:r w:rsidRPr="00AC018B">
        <w:t xml:space="preserve">, </w:t>
      </w:r>
      <w:r>
        <w:t>C</w:t>
      </w:r>
      <w:r>
        <w:noBreakHyphen/>
        <w:t>911/19</w:t>
      </w:r>
      <w:bookmarkEnd w:id="79"/>
    </w:p>
    <w:p w14:paraId="07529926" w14:textId="77777777" w:rsidR="00426307" w:rsidRPr="006F7496" w:rsidRDefault="00426307" w:rsidP="00426307">
      <w:pPr>
        <w:tabs>
          <w:tab w:val="left" w:pos="6379"/>
        </w:tabs>
        <w:ind w:firstLine="540"/>
        <w:rPr>
          <w:rFonts w:asciiTheme="minorHAnsi" w:hAnsiTheme="minorHAnsi" w:cstheme="minorHAnsi"/>
        </w:rPr>
      </w:pPr>
    </w:p>
    <w:p w14:paraId="06C9FE8E" w14:textId="77777777" w:rsidR="00426307" w:rsidRPr="006F7496" w:rsidRDefault="00426307" w:rsidP="00426307">
      <w:pPr>
        <w:tabs>
          <w:tab w:val="left" w:pos="6379"/>
        </w:tabs>
        <w:ind w:firstLine="540"/>
        <w:rPr>
          <w:rFonts w:asciiTheme="minorHAnsi" w:hAnsiTheme="minorHAnsi" w:cstheme="minorHAnsi"/>
        </w:rPr>
      </w:pPr>
      <w:r w:rsidRPr="00AC018B">
        <w:rPr>
          <w:rFonts w:asciiTheme="minorHAnsi" w:hAnsiTheme="minorHAnsi" w:cstheme="minorHAnsi"/>
        </w:rPr>
        <w:t>Teisiškai neįpareigojantis Sąjungos aktas – Teisminė kontrolė – Europos bankininkystės institucijos (EBI) priimtos gairės – Mažmeninės bankininkystės produktų valdymo ir priežiūros gairės – Galiojimas – EBI kompetencija</w:t>
      </w:r>
    </w:p>
    <w:p w14:paraId="0E374676" w14:textId="77777777" w:rsidR="00426307" w:rsidRPr="006F7496" w:rsidRDefault="00426307" w:rsidP="00426307">
      <w:pPr>
        <w:tabs>
          <w:tab w:val="left" w:pos="6379"/>
        </w:tabs>
        <w:rPr>
          <w:rFonts w:asciiTheme="minorHAnsi" w:hAnsiTheme="minorHAnsi" w:cstheme="minorHAnsi"/>
        </w:rPr>
      </w:pPr>
    </w:p>
    <w:p w14:paraId="7996CB2B" w14:textId="77777777" w:rsidR="00426307" w:rsidRPr="006F7496" w:rsidRDefault="00426307" w:rsidP="00426307">
      <w:pPr>
        <w:tabs>
          <w:tab w:val="left" w:pos="6379"/>
        </w:tabs>
        <w:jc w:val="center"/>
        <w:rPr>
          <w:rFonts w:asciiTheme="minorHAnsi" w:hAnsiTheme="minorHAnsi" w:cstheme="minorHAnsi"/>
          <w:b/>
          <w:bCs/>
        </w:rPr>
      </w:pPr>
      <w:r w:rsidRPr="006F7496">
        <w:rPr>
          <w:rFonts w:asciiTheme="minorHAnsi" w:hAnsiTheme="minorHAnsi" w:cstheme="minorHAnsi"/>
          <w:b/>
          <w:bCs/>
        </w:rPr>
        <w:t>Bylos aplinkybės</w:t>
      </w:r>
    </w:p>
    <w:p w14:paraId="28FD3A91" w14:textId="77777777" w:rsidR="00426307" w:rsidRPr="006F7496" w:rsidRDefault="00426307" w:rsidP="00426307">
      <w:pPr>
        <w:tabs>
          <w:tab w:val="left" w:pos="6379"/>
        </w:tabs>
        <w:rPr>
          <w:rFonts w:asciiTheme="minorHAnsi" w:hAnsiTheme="minorHAnsi" w:cstheme="minorHAnsi"/>
        </w:rPr>
      </w:pPr>
    </w:p>
    <w:p w14:paraId="15BC8F97" w14:textId="77777777" w:rsidR="00426307" w:rsidRPr="006F7496" w:rsidRDefault="00426307" w:rsidP="00426307">
      <w:pPr>
        <w:tabs>
          <w:tab w:val="left" w:pos="6379"/>
        </w:tabs>
        <w:ind w:firstLine="540"/>
        <w:rPr>
          <w:rFonts w:asciiTheme="minorHAnsi" w:hAnsiTheme="minorHAnsi" w:cstheme="minorHAnsi"/>
        </w:rPr>
      </w:pPr>
      <w:r w:rsidRPr="00AC018B">
        <w:rPr>
          <w:rFonts w:asciiTheme="minorHAnsi" w:hAnsiTheme="minorHAnsi" w:cstheme="minorHAnsi"/>
        </w:rPr>
        <w:t>2016 m. Europos bankininkystės institucija (toliau – EBI) priėmė Mažmeninės bankininkystės produktų priežiūros ir valdymo gaires</w:t>
      </w:r>
      <w:r>
        <w:rPr>
          <w:rStyle w:val="Puslapioinaosnuoroda"/>
          <w:rFonts w:asciiTheme="minorHAnsi" w:hAnsiTheme="minorHAnsi" w:cstheme="minorHAnsi"/>
        </w:rPr>
        <w:footnoteReference w:id="23"/>
      </w:r>
      <w:r w:rsidRPr="00AC018B">
        <w:rPr>
          <w:rFonts w:asciiTheme="minorHAnsi" w:hAnsiTheme="minorHAnsi" w:cstheme="minorHAnsi"/>
        </w:rPr>
        <w:t xml:space="preserve">. </w:t>
      </w:r>
      <w:r>
        <w:rPr>
          <w:rFonts w:asciiTheme="minorHAnsi" w:hAnsiTheme="minorHAnsi" w:cstheme="minorHAnsi"/>
        </w:rPr>
        <w:t xml:space="preserve">Prancūzijos </w:t>
      </w:r>
      <w:r w:rsidRPr="00AC018B">
        <w:rPr>
          <w:rFonts w:asciiTheme="minorHAnsi" w:hAnsiTheme="minorHAnsi" w:cstheme="minorHAnsi"/>
        </w:rPr>
        <w:t>Rizikos ribojimu pagrįstos priežiūros ir pertvarkymo institucija</w:t>
      </w:r>
      <w:r>
        <w:rPr>
          <w:rFonts w:asciiTheme="minorHAnsi" w:hAnsiTheme="minorHAnsi" w:cstheme="minorHAnsi"/>
        </w:rPr>
        <w:t xml:space="preserve"> (</w:t>
      </w:r>
      <w:r w:rsidRPr="00AC018B">
        <w:rPr>
          <w:rFonts w:asciiTheme="minorHAnsi" w:hAnsiTheme="minorHAnsi" w:cstheme="minorHAnsi"/>
        </w:rPr>
        <w:t>toliau – ACPR) savo interneto svetainėje paskelbė pranešimą, kad laikosi šių gairių, taigi jos taikomos visoms jos kontroliuojamoms finansų įstaigoms.</w:t>
      </w:r>
      <w:r>
        <w:rPr>
          <w:rFonts w:asciiTheme="minorHAnsi" w:hAnsiTheme="minorHAnsi" w:cstheme="minorHAnsi"/>
        </w:rPr>
        <w:t xml:space="preserve"> </w:t>
      </w:r>
      <w:r w:rsidRPr="00AC018B">
        <w:rPr>
          <w:rFonts w:asciiTheme="minorHAnsi" w:hAnsiTheme="minorHAnsi" w:cstheme="minorHAnsi"/>
        </w:rPr>
        <w:t>Prancūzijos bankų federacija</w:t>
      </w:r>
      <w:r>
        <w:rPr>
          <w:rFonts w:asciiTheme="minorHAnsi" w:hAnsiTheme="minorHAnsi" w:cstheme="minorHAnsi"/>
        </w:rPr>
        <w:t xml:space="preserve"> (</w:t>
      </w:r>
      <w:r w:rsidRPr="00AC018B">
        <w:rPr>
          <w:rFonts w:asciiTheme="minorHAnsi" w:hAnsiTheme="minorHAnsi" w:cstheme="minorHAnsi"/>
        </w:rPr>
        <w:t xml:space="preserve">toliau – FBF) </w:t>
      </w:r>
      <w:r>
        <w:rPr>
          <w:rFonts w:asciiTheme="minorHAnsi" w:hAnsiTheme="minorHAnsi" w:cstheme="minorHAnsi"/>
        </w:rPr>
        <w:t xml:space="preserve">su ieškiniu kreipėsi į Prancūzijos </w:t>
      </w:r>
      <w:r w:rsidRPr="00AC018B">
        <w:rPr>
          <w:rFonts w:asciiTheme="minorHAnsi" w:hAnsiTheme="minorHAnsi" w:cstheme="minorHAnsi"/>
        </w:rPr>
        <w:t>Valstybės Taryb</w:t>
      </w:r>
      <w:r>
        <w:rPr>
          <w:rFonts w:asciiTheme="minorHAnsi" w:hAnsiTheme="minorHAnsi" w:cstheme="minorHAnsi"/>
        </w:rPr>
        <w:t xml:space="preserve">ą, siekdama </w:t>
      </w:r>
      <w:r w:rsidRPr="00AC018B">
        <w:rPr>
          <w:rFonts w:asciiTheme="minorHAnsi" w:hAnsiTheme="minorHAnsi" w:cstheme="minorHAnsi"/>
        </w:rPr>
        <w:t>ACPR pranešimo panaikinimo</w:t>
      </w:r>
      <w:r>
        <w:rPr>
          <w:rFonts w:asciiTheme="minorHAnsi" w:hAnsiTheme="minorHAnsi" w:cstheme="minorHAnsi"/>
        </w:rPr>
        <w:t xml:space="preserve"> ir teigdama, kad </w:t>
      </w:r>
      <w:r w:rsidRPr="00AC018B">
        <w:rPr>
          <w:rFonts w:asciiTheme="minorHAnsi" w:hAnsiTheme="minorHAnsi" w:cstheme="minorHAnsi"/>
        </w:rPr>
        <w:t>EBI garės, kurios tapo taikytinos dėl šio pranešimo, negaliojo, nes ši institucija neturėjo kompetencijos priimti tokias gaires</w:t>
      </w:r>
      <w:r w:rsidRPr="006F7496">
        <w:rPr>
          <w:rFonts w:asciiTheme="minorHAnsi" w:hAnsiTheme="minorHAnsi" w:cstheme="minorHAnsi"/>
        </w:rPr>
        <w:t>.</w:t>
      </w:r>
    </w:p>
    <w:p w14:paraId="7DDD4F32" w14:textId="77777777" w:rsidR="00426307" w:rsidRPr="006F7496" w:rsidRDefault="00426307" w:rsidP="00426307">
      <w:pPr>
        <w:tabs>
          <w:tab w:val="left" w:pos="6379"/>
        </w:tabs>
        <w:rPr>
          <w:rFonts w:asciiTheme="minorHAnsi" w:hAnsiTheme="minorHAnsi" w:cstheme="minorHAnsi"/>
        </w:rPr>
      </w:pPr>
    </w:p>
    <w:p w14:paraId="2E342BF9" w14:textId="77777777" w:rsidR="00426307" w:rsidRPr="006F7496" w:rsidRDefault="00426307" w:rsidP="00426307">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2287BE35" w14:textId="77777777" w:rsidR="00426307" w:rsidRPr="006F7496" w:rsidRDefault="00426307" w:rsidP="00426307">
      <w:pPr>
        <w:tabs>
          <w:tab w:val="left" w:pos="6379"/>
        </w:tabs>
        <w:ind w:firstLine="540"/>
        <w:rPr>
          <w:rFonts w:asciiTheme="minorHAnsi" w:hAnsiTheme="minorHAnsi" w:cstheme="minorHAnsi"/>
        </w:rPr>
      </w:pPr>
    </w:p>
    <w:p w14:paraId="4C98CD6C" w14:textId="77777777" w:rsidR="00426307" w:rsidRPr="00426307" w:rsidRDefault="00426307" w:rsidP="00426307">
      <w:pPr>
        <w:pStyle w:val="Antrat3"/>
        <w:tabs>
          <w:tab w:val="clear" w:pos="567"/>
          <w:tab w:val="left" w:pos="426"/>
        </w:tabs>
        <w:ind w:firstLine="567"/>
      </w:pPr>
      <w:bookmarkStart w:id="80" w:name="_Toc105161279"/>
      <w:r w:rsidRPr="00426307">
        <w:lastRenderedPageBreak/>
        <w:t>Dėl galimybės pareikšti ieškinį pagal SESV 263 straipsnį dėl Europos bankininkystės institucijos (EBI) Mažmeninės bankininkystės produktų priežiūros ir valdymo gairių panaikinimo, taip pat Teisingumo Teismo jurisdikcijos vertinti šių gairių galiojimą</w:t>
      </w:r>
      <w:bookmarkEnd w:id="80"/>
    </w:p>
    <w:p w14:paraId="1D0D7DBB" w14:textId="77777777" w:rsidR="00426307" w:rsidRPr="006F7496" w:rsidRDefault="00426307" w:rsidP="00426307">
      <w:pPr>
        <w:tabs>
          <w:tab w:val="left" w:pos="6379"/>
        </w:tabs>
        <w:ind w:firstLine="540"/>
        <w:rPr>
          <w:rFonts w:asciiTheme="minorHAnsi" w:hAnsiTheme="minorHAnsi" w:cstheme="minorHAnsi"/>
        </w:rPr>
      </w:pPr>
    </w:p>
    <w:p w14:paraId="299D2C14" w14:textId="21CA4A9C" w:rsidR="00426307" w:rsidRPr="00FE6A06" w:rsidRDefault="00426307" w:rsidP="00426307">
      <w:pPr>
        <w:tabs>
          <w:tab w:val="left" w:pos="6379"/>
        </w:tabs>
        <w:ind w:firstLine="540"/>
        <w:rPr>
          <w:rFonts w:asciiTheme="minorHAnsi" w:hAnsiTheme="minorHAnsi" w:cstheme="minorHAnsi"/>
        </w:rPr>
      </w:pPr>
      <w:r>
        <w:rPr>
          <w:rFonts w:asciiTheme="minorHAnsi" w:hAnsiTheme="minorHAnsi" w:cstheme="minorHAnsi"/>
        </w:rPr>
        <w:t>P</w:t>
      </w:r>
      <w:r w:rsidRPr="00CB4EC2">
        <w:rPr>
          <w:rFonts w:asciiTheme="minorHAnsi" w:hAnsiTheme="minorHAnsi" w:cstheme="minorHAnsi"/>
        </w:rPr>
        <w:t>rašymą priimti prejudicinį sprendimą pateikęs teismas</w:t>
      </w:r>
      <w:r>
        <w:rPr>
          <w:rFonts w:asciiTheme="minorHAnsi" w:hAnsiTheme="minorHAnsi" w:cstheme="minorHAnsi"/>
        </w:rPr>
        <w:t xml:space="preserve"> pirmiausia</w:t>
      </w:r>
      <w:r w:rsidRPr="00CB4EC2">
        <w:rPr>
          <w:rFonts w:asciiTheme="minorHAnsi" w:hAnsiTheme="minorHAnsi" w:cstheme="minorHAnsi"/>
        </w:rPr>
        <w:t xml:space="preserve"> </w:t>
      </w:r>
      <w:r>
        <w:rPr>
          <w:rFonts w:asciiTheme="minorHAnsi" w:hAnsiTheme="minorHAnsi" w:cstheme="minorHAnsi"/>
        </w:rPr>
        <w:t>siekė</w:t>
      </w:r>
      <w:r w:rsidRPr="00CB4EC2">
        <w:rPr>
          <w:rFonts w:asciiTheme="minorHAnsi" w:hAnsiTheme="minorHAnsi" w:cstheme="minorHAnsi"/>
        </w:rPr>
        <w:t xml:space="preserve"> išsiaiškinti, ar SESV 263</w:t>
      </w:r>
      <w:r w:rsidR="009E1656">
        <w:rPr>
          <w:rFonts w:asciiTheme="minorHAnsi" w:hAnsiTheme="minorHAnsi" w:cstheme="minorHAnsi"/>
        </w:rPr>
        <w:t> </w:t>
      </w:r>
      <w:r w:rsidRPr="00CB4EC2">
        <w:rPr>
          <w:rFonts w:asciiTheme="minorHAnsi" w:hAnsiTheme="minorHAnsi" w:cstheme="minorHAnsi"/>
        </w:rPr>
        <w:t>straipsnis turi būti aiškinamas taip, kad dėl aktų, kaip antai ginčijamų gairių, galima pareikšti ieškinį dėl panaikinimo pagal šį straipsnį.</w:t>
      </w:r>
      <w:r w:rsidRPr="00CB4EC2">
        <w:rPr>
          <w:rFonts w:asciiTheme="minorHAnsi" w:hAnsiTheme="minorHAnsi" w:cstheme="minorHAnsi"/>
          <w:u w:val="single"/>
        </w:rPr>
        <w:t xml:space="preserve"> </w:t>
      </w:r>
      <w:r w:rsidRPr="00117DAF">
        <w:rPr>
          <w:rFonts w:asciiTheme="minorHAnsi" w:hAnsiTheme="minorHAnsi" w:cstheme="minorHAnsi"/>
          <w:u w:val="single"/>
        </w:rPr>
        <w:t>Teisingumo Teismas konstatavo, kad dėl ši</w:t>
      </w:r>
      <w:r>
        <w:rPr>
          <w:rFonts w:asciiTheme="minorHAnsi" w:hAnsiTheme="minorHAnsi" w:cstheme="minorHAnsi"/>
          <w:u w:val="single"/>
        </w:rPr>
        <w:t>o</w:t>
      </w:r>
      <w:r w:rsidRPr="00117DAF">
        <w:rPr>
          <w:rFonts w:asciiTheme="minorHAnsi" w:hAnsiTheme="minorHAnsi" w:cstheme="minorHAnsi"/>
          <w:u w:val="single"/>
        </w:rPr>
        <w:t xml:space="preserve"> akt</w:t>
      </w:r>
      <w:r>
        <w:rPr>
          <w:rFonts w:asciiTheme="minorHAnsi" w:hAnsiTheme="minorHAnsi" w:cstheme="minorHAnsi"/>
          <w:u w:val="single"/>
        </w:rPr>
        <w:t>o</w:t>
      </w:r>
      <w:r w:rsidRPr="00117DAF">
        <w:rPr>
          <w:rFonts w:asciiTheme="minorHAnsi" w:hAnsiTheme="minorHAnsi" w:cstheme="minorHAnsi"/>
          <w:u w:val="single"/>
        </w:rPr>
        <w:t xml:space="preserve"> negalima pareikšti</w:t>
      </w:r>
      <w:r>
        <w:rPr>
          <w:rFonts w:asciiTheme="minorHAnsi" w:hAnsiTheme="minorHAnsi" w:cstheme="minorHAnsi"/>
          <w:u w:val="single"/>
        </w:rPr>
        <w:t xml:space="preserve"> tokio ieškinio</w:t>
      </w:r>
      <w:r w:rsidRPr="00117DAF">
        <w:rPr>
          <w:rFonts w:asciiTheme="minorHAnsi" w:hAnsiTheme="minorHAnsi" w:cstheme="minorHAnsi"/>
          <w:u w:val="single"/>
        </w:rPr>
        <w:t xml:space="preserve">, nes </w:t>
      </w:r>
      <w:r>
        <w:rPr>
          <w:rFonts w:asciiTheme="minorHAnsi" w:hAnsiTheme="minorHAnsi" w:cstheme="minorHAnsi"/>
          <w:u w:val="single"/>
        </w:rPr>
        <w:t xml:space="preserve">ginčijamomis gairėmis </w:t>
      </w:r>
      <w:r w:rsidRPr="00117DAF">
        <w:rPr>
          <w:rFonts w:asciiTheme="minorHAnsi" w:hAnsiTheme="minorHAnsi" w:cstheme="minorHAnsi"/>
          <w:u w:val="single"/>
        </w:rPr>
        <w:t>nesiekiama sukelti privalomų teisinių padarinių</w:t>
      </w:r>
      <w:r w:rsidRPr="00FE6A06">
        <w:rPr>
          <w:rFonts w:asciiTheme="minorHAnsi" w:hAnsiTheme="minorHAnsi" w:cstheme="minorHAnsi"/>
        </w:rPr>
        <w:t>.</w:t>
      </w:r>
      <w:r>
        <w:rPr>
          <w:rFonts w:asciiTheme="minorHAnsi" w:hAnsiTheme="minorHAnsi" w:cstheme="minorHAnsi"/>
        </w:rPr>
        <w:t xml:space="preserve"> </w:t>
      </w:r>
      <w:r w:rsidRPr="00FE6A06">
        <w:rPr>
          <w:rFonts w:asciiTheme="minorHAnsi" w:hAnsiTheme="minorHAnsi" w:cstheme="minorHAnsi"/>
        </w:rPr>
        <w:t>Šiuo klausimu jis pabrėžė, kad iš Reglamento Nr. 1093/2010</w:t>
      </w:r>
      <w:r>
        <w:rPr>
          <w:rStyle w:val="Puslapioinaosnuoroda"/>
          <w:rFonts w:asciiTheme="minorHAnsi" w:hAnsiTheme="minorHAnsi" w:cstheme="minorHAnsi"/>
        </w:rPr>
        <w:footnoteReference w:id="24"/>
      </w:r>
      <w:r w:rsidRPr="00FE6A06">
        <w:rPr>
          <w:rFonts w:asciiTheme="minorHAnsi" w:hAnsiTheme="minorHAnsi" w:cstheme="minorHAnsi"/>
        </w:rPr>
        <w:t xml:space="preserve"> matyti, jog kompetentingos institucijos, kurioms skirtos ginčijamos gairės, neprivalo jų laikytis ir turi galimybę nuo jų nukrypti, o tokiu atveju jos turi motyvuoti savo poziciją. Taigi</w:t>
      </w:r>
      <w:r>
        <w:rPr>
          <w:rFonts w:asciiTheme="minorHAnsi" w:hAnsiTheme="minorHAnsi" w:cstheme="minorHAnsi"/>
        </w:rPr>
        <w:t>,</w:t>
      </w:r>
      <w:r w:rsidRPr="00FE6A06">
        <w:rPr>
          <w:rFonts w:asciiTheme="minorHAnsi" w:hAnsiTheme="minorHAnsi" w:cstheme="minorHAnsi"/>
        </w:rPr>
        <w:t xml:space="preserve"> šios gairės negali būti laikomos sukeliančiomis privalomų teisinių padarinių šioms kompetentingoms valdžios institucijoms arba finansų įstaigoms. Todėl, Teisingumo Teismo teigimu, leisdamas EBI priimti gaires ir rekomendacijas, Sąjungos teisės aktų leidėjas siekė šiai institucijai suteikti skatinimo ir įtikinimo įgaliojimus, kurie skiriasi nuo įgaliojimų priimti privalomus aktus.</w:t>
      </w:r>
    </w:p>
    <w:p w14:paraId="0DB0B723" w14:textId="77777777" w:rsidR="00426307" w:rsidRDefault="00426307" w:rsidP="00426307">
      <w:pPr>
        <w:tabs>
          <w:tab w:val="left" w:pos="6379"/>
        </w:tabs>
        <w:ind w:firstLine="540"/>
        <w:rPr>
          <w:rFonts w:asciiTheme="minorHAnsi" w:hAnsiTheme="minorHAnsi" w:cstheme="minorHAnsi"/>
        </w:rPr>
      </w:pPr>
      <w:r w:rsidRPr="00FE6A06">
        <w:rPr>
          <w:rFonts w:asciiTheme="minorHAnsi" w:hAnsiTheme="minorHAnsi" w:cstheme="minorHAnsi"/>
        </w:rPr>
        <w:t xml:space="preserve">Vis dėlto </w:t>
      </w:r>
      <w:r w:rsidRPr="00117DAF">
        <w:rPr>
          <w:rFonts w:asciiTheme="minorHAnsi" w:hAnsiTheme="minorHAnsi" w:cstheme="minorHAnsi"/>
        </w:rPr>
        <w:t>aplinkybė, kad ginčijamos gairės nesukelia privalomų teisinių padarinių, nereiškia, kad Teisingumo Teismas neturi jurisdikcijos priimti prejudicinio sprendimo dėl jų galiojimo.</w:t>
      </w:r>
      <w:r w:rsidRPr="00FE6A06">
        <w:rPr>
          <w:rFonts w:asciiTheme="minorHAnsi" w:hAnsiTheme="minorHAnsi" w:cstheme="minorHAnsi"/>
        </w:rPr>
        <w:t xml:space="preserve"> Šiuo klausimu Teisingumo Teismas konstatavo, kad </w:t>
      </w:r>
      <w:r w:rsidRPr="00117DAF">
        <w:rPr>
          <w:rFonts w:asciiTheme="minorHAnsi" w:hAnsiTheme="minorHAnsi" w:cstheme="minorHAnsi"/>
          <w:u w:val="single"/>
        </w:rPr>
        <w:t>pagal SESV 267 straipsnį jis turi jurisdikciją vertinti ginčijamų gairių galiojimą</w:t>
      </w:r>
      <w:r w:rsidRPr="006F7496">
        <w:rPr>
          <w:rFonts w:asciiTheme="minorHAnsi" w:hAnsiTheme="minorHAnsi" w:cstheme="minorHAnsi"/>
        </w:rPr>
        <w:t>.</w:t>
      </w:r>
      <w:r>
        <w:rPr>
          <w:rFonts w:asciiTheme="minorHAnsi" w:hAnsiTheme="minorHAnsi" w:cstheme="minorHAnsi"/>
        </w:rPr>
        <w:t xml:space="preserve"> </w:t>
      </w:r>
    </w:p>
    <w:p w14:paraId="4F6E7236" w14:textId="77777777" w:rsidR="00426307" w:rsidRDefault="00426307" w:rsidP="00426307">
      <w:pPr>
        <w:tabs>
          <w:tab w:val="left" w:pos="6379"/>
        </w:tabs>
        <w:ind w:firstLine="540"/>
        <w:rPr>
          <w:rFonts w:asciiTheme="minorHAnsi" w:hAnsiTheme="minorHAnsi" w:cstheme="minorHAnsi"/>
        </w:rPr>
      </w:pPr>
      <w:r>
        <w:rPr>
          <w:rFonts w:asciiTheme="minorHAnsi" w:hAnsiTheme="minorHAnsi" w:cstheme="minorHAnsi"/>
        </w:rPr>
        <w:t>P</w:t>
      </w:r>
      <w:r w:rsidRPr="005909AE">
        <w:rPr>
          <w:rFonts w:asciiTheme="minorHAnsi" w:hAnsiTheme="minorHAnsi" w:cstheme="minorHAnsi"/>
        </w:rPr>
        <w:t>rašymą priimti prejudicinį sprendimą pateikęs teismas</w:t>
      </w:r>
      <w:r>
        <w:rPr>
          <w:rFonts w:asciiTheme="minorHAnsi" w:hAnsiTheme="minorHAnsi" w:cstheme="minorHAnsi"/>
        </w:rPr>
        <w:t xml:space="preserve"> taip pat teiravosi</w:t>
      </w:r>
      <w:r w:rsidRPr="005909AE">
        <w:rPr>
          <w:rFonts w:asciiTheme="minorHAnsi" w:hAnsiTheme="minorHAnsi" w:cstheme="minorHAnsi"/>
        </w:rPr>
        <w:t xml:space="preserve">, ar pagal Sąjungos teisę reikalaujama, kad prieštaravimo dėl Sąjungos akto teisėtumo priimtinumas nacionaliniame teisme priklausytų nuo sąlygos, kad šis aktas būtų tiesiogiai ir konkrečiai susijęs su teisės subjektu, kuris remiasi šiuo prieštaravimu. </w:t>
      </w:r>
      <w:r>
        <w:rPr>
          <w:rFonts w:asciiTheme="minorHAnsi" w:hAnsiTheme="minorHAnsi" w:cstheme="minorHAnsi"/>
        </w:rPr>
        <w:t xml:space="preserve">Šiuo aspektu Teisingumo Teismas nurodė, kad </w:t>
      </w:r>
      <w:r w:rsidRPr="00612CAA">
        <w:rPr>
          <w:rFonts w:asciiTheme="minorHAnsi" w:hAnsiTheme="minorHAnsi" w:cstheme="minorHAnsi"/>
        </w:rPr>
        <w:t>prašymas priimti prejudicinį sprendimą dėl galiojimo įvertinimo turi būti laikomas priimtinu, jeigu jis pateiktas nagrinėjant realią bylą, kurioje netiesiogiai kyla klausimas dėl Sąjungos akto galiojimo, net jei dėl šio akto nebuvo imtasi jokių taikymo priemonių asmeniui, su kuriuo susijusi pagrindinė byla</w:t>
      </w:r>
      <w:r>
        <w:rPr>
          <w:rFonts w:asciiTheme="minorHAnsi" w:hAnsiTheme="minorHAnsi" w:cstheme="minorHAnsi"/>
        </w:rPr>
        <w:t xml:space="preserve">. Taigi, </w:t>
      </w:r>
      <w:r w:rsidRPr="00612CAA">
        <w:rPr>
          <w:rFonts w:asciiTheme="minorHAnsi" w:hAnsiTheme="minorHAnsi" w:cstheme="minorHAnsi"/>
          <w:u w:val="single"/>
        </w:rPr>
        <w:t>pagal Sąjungos teisę nereikalaujama, kad prieštaravimo dėl Sąjungos akto teisėtumo priimtinumas nacionaliniame teisme priklausytų nuo sąlygos, kad šis aktas būtų tiesiogiai ir konkrečiai susijęs su teisės subjektu, kuris remiasi šiuo prieštaravimu</w:t>
      </w:r>
      <w:r>
        <w:rPr>
          <w:rFonts w:asciiTheme="minorHAnsi" w:hAnsiTheme="minorHAnsi" w:cstheme="minorHAnsi"/>
        </w:rPr>
        <w:t>.</w:t>
      </w:r>
    </w:p>
    <w:p w14:paraId="5B2059CE" w14:textId="77777777" w:rsidR="00426307" w:rsidRDefault="00426307" w:rsidP="00426307">
      <w:pPr>
        <w:tabs>
          <w:tab w:val="left" w:pos="6379"/>
        </w:tabs>
        <w:ind w:firstLine="540"/>
        <w:rPr>
          <w:rFonts w:asciiTheme="minorHAnsi" w:hAnsiTheme="minorHAnsi" w:cstheme="minorHAnsi"/>
        </w:rPr>
      </w:pPr>
      <w:r>
        <w:rPr>
          <w:rFonts w:asciiTheme="minorHAnsi" w:hAnsiTheme="minorHAnsi" w:cstheme="minorHAnsi"/>
        </w:rPr>
        <w:t>S</w:t>
      </w:r>
      <w:r w:rsidRPr="00057961">
        <w:rPr>
          <w:rFonts w:asciiTheme="minorHAnsi" w:hAnsiTheme="minorHAnsi" w:cstheme="minorHAnsi"/>
        </w:rPr>
        <w:t>iekdamas atsakyti į</w:t>
      </w:r>
      <w:r>
        <w:rPr>
          <w:rFonts w:asciiTheme="minorHAnsi" w:hAnsiTheme="minorHAnsi" w:cstheme="minorHAnsi"/>
        </w:rPr>
        <w:t xml:space="preserve"> p</w:t>
      </w:r>
      <w:r w:rsidRPr="005909AE">
        <w:rPr>
          <w:rFonts w:asciiTheme="minorHAnsi" w:hAnsiTheme="minorHAnsi" w:cstheme="minorHAnsi"/>
        </w:rPr>
        <w:t>rašymą priimti prejudicinį sprendimą pateik</w:t>
      </w:r>
      <w:r>
        <w:rPr>
          <w:rFonts w:asciiTheme="minorHAnsi" w:hAnsiTheme="minorHAnsi" w:cstheme="minorHAnsi"/>
        </w:rPr>
        <w:t>usio</w:t>
      </w:r>
      <w:r w:rsidRPr="005909AE">
        <w:rPr>
          <w:rFonts w:asciiTheme="minorHAnsi" w:hAnsiTheme="minorHAnsi" w:cstheme="minorHAnsi"/>
        </w:rPr>
        <w:t xml:space="preserve"> teism</w:t>
      </w:r>
      <w:r>
        <w:rPr>
          <w:rFonts w:asciiTheme="minorHAnsi" w:hAnsiTheme="minorHAnsi" w:cstheme="minorHAnsi"/>
        </w:rPr>
        <w:t xml:space="preserve">o klausimą, kuriuo buvo siekiama </w:t>
      </w:r>
      <w:r w:rsidRPr="00057961">
        <w:rPr>
          <w:rFonts w:asciiTheme="minorHAnsi" w:hAnsiTheme="minorHAnsi" w:cstheme="minorHAnsi"/>
        </w:rPr>
        <w:t>sužinoti dėl ginčijamų gairių galiojimo</w:t>
      </w:r>
      <w:r>
        <w:rPr>
          <w:rFonts w:asciiTheme="minorHAnsi" w:hAnsiTheme="minorHAnsi" w:cstheme="minorHAnsi"/>
        </w:rPr>
        <w:t>,</w:t>
      </w:r>
      <w:r w:rsidRPr="00057961">
        <w:rPr>
          <w:rFonts w:asciiTheme="minorHAnsi" w:hAnsiTheme="minorHAnsi" w:cstheme="minorHAnsi"/>
        </w:rPr>
        <w:t xml:space="preserve"> atsižvelgiant į Reglamento Nr. 1093/2010 nuostatas, kuriose apibrėžiama EBI kompetencija</w:t>
      </w:r>
      <w:r>
        <w:rPr>
          <w:rFonts w:asciiTheme="minorHAnsi" w:hAnsiTheme="minorHAnsi" w:cstheme="minorHAnsi"/>
        </w:rPr>
        <w:t xml:space="preserve">, Teisingumo Teismas </w:t>
      </w:r>
      <w:r w:rsidRPr="00057961">
        <w:rPr>
          <w:rFonts w:asciiTheme="minorHAnsi" w:hAnsiTheme="minorHAnsi" w:cstheme="minorHAnsi"/>
        </w:rPr>
        <w:t>tur</w:t>
      </w:r>
      <w:r>
        <w:rPr>
          <w:rFonts w:asciiTheme="minorHAnsi" w:hAnsiTheme="minorHAnsi" w:cstheme="minorHAnsi"/>
        </w:rPr>
        <w:t>ėjo</w:t>
      </w:r>
      <w:r w:rsidRPr="00057961">
        <w:rPr>
          <w:rFonts w:asciiTheme="minorHAnsi" w:hAnsiTheme="minorHAnsi" w:cstheme="minorHAnsi"/>
        </w:rPr>
        <w:t xml:space="preserve"> patikrinti, ar ginčijamos gairės priskirtinos EBI kompetencijai, kaip ją apibrėžė šis teisės aktų leidėjas.</w:t>
      </w:r>
      <w:r>
        <w:rPr>
          <w:rFonts w:asciiTheme="minorHAnsi" w:hAnsiTheme="minorHAnsi" w:cstheme="minorHAnsi"/>
        </w:rPr>
        <w:t xml:space="preserve"> </w:t>
      </w:r>
      <w:r w:rsidRPr="00057961">
        <w:rPr>
          <w:rFonts w:asciiTheme="minorHAnsi" w:hAnsiTheme="minorHAnsi" w:cstheme="minorHAnsi"/>
        </w:rPr>
        <w:t xml:space="preserve">Visų pirma jis konstatavo, kad kadangi iš Reglamento Nr. 1093/2010 matyti, kad Sąjungos teisės aktų leidėjas EBI įgaliojimus priimti gaires aiškiai apibrėžė remdamasis objektyviais kriterijais, įgyvendinant šiuos įgaliojimus turi būti galima taikyti griežtą teisminę kontrolę šių objektyvių kriterijų atžvilgiu. Aplinkybė, kad ginčijamos gairės nesukelia privalomų teisinių padarinių, negali turėti įtakos šios kontrolės apimčiai. </w:t>
      </w:r>
      <w:r>
        <w:rPr>
          <w:rFonts w:asciiTheme="minorHAnsi" w:hAnsiTheme="minorHAnsi" w:cstheme="minorHAnsi"/>
        </w:rPr>
        <w:t xml:space="preserve">Buvo atkreiptas dėmesys </w:t>
      </w:r>
      <w:r w:rsidRPr="00902989">
        <w:rPr>
          <w:rFonts w:asciiTheme="minorHAnsi" w:hAnsiTheme="minorHAnsi" w:cstheme="minorHAnsi"/>
          <w:i/>
          <w:iCs/>
        </w:rPr>
        <w:t>inter alia</w:t>
      </w:r>
      <w:r>
        <w:rPr>
          <w:rFonts w:asciiTheme="minorHAnsi" w:hAnsiTheme="minorHAnsi" w:cstheme="minorHAnsi"/>
        </w:rPr>
        <w:t xml:space="preserve"> į tai, kad </w:t>
      </w:r>
      <w:r w:rsidRPr="004436E9">
        <w:rPr>
          <w:rFonts w:asciiTheme="minorHAnsi" w:hAnsiTheme="minorHAnsi" w:cstheme="minorHAnsi"/>
        </w:rPr>
        <w:t xml:space="preserve">tokios gairės gali lemti tai, </w:t>
      </w:r>
      <w:r>
        <w:rPr>
          <w:rFonts w:asciiTheme="minorHAnsi" w:hAnsiTheme="minorHAnsi" w:cstheme="minorHAnsi"/>
        </w:rPr>
        <w:t>jog</w:t>
      </w:r>
      <w:r w:rsidRPr="004436E9">
        <w:rPr>
          <w:rFonts w:asciiTheme="minorHAnsi" w:hAnsiTheme="minorHAnsi" w:cstheme="minorHAnsi"/>
        </w:rPr>
        <w:t xml:space="preserve"> kompetentingos valdžios institucijos, gali priimti nacionalinės teisės aktus, skatinančius finansų įstaigas iš esmės pakeisti savo praktiką arba atsižvelgti į EBI gairių laikymąsi nagrinėjant šių įstaigų individualią padėtį.</w:t>
      </w:r>
      <w:r>
        <w:rPr>
          <w:rFonts w:asciiTheme="minorHAnsi" w:hAnsiTheme="minorHAnsi" w:cstheme="minorHAnsi"/>
        </w:rPr>
        <w:t xml:space="preserve"> </w:t>
      </w:r>
      <w:r w:rsidRPr="004436E9">
        <w:rPr>
          <w:rFonts w:asciiTheme="minorHAnsi" w:hAnsiTheme="minorHAnsi" w:cstheme="minorHAnsi"/>
        </w:rPr>
        <w:t>Taip pat nacionaliniai teismai privalo atsižvelgti į EBI gaires, kai nagrinėja jiems pateiktus ginčus, be kita ko, tuomet, kai jomis, kaip ir ginčijamomis gairėmis, siekiama papildyti privalomąsias Sąjungos teisės nuostatas</w:t>
      </w:r>
      <w:r>
        <w:rPr>
          <w:rFonts w:asciiTheme="minorHAnsi" w:hAnsiTheme="minorHAnsi" w:cstheme="minorHAnsi"/>
        </w:rPr>
        <w:t xml:space="preserve">. </w:t>
      </w:r>
    </w:p>
    <w:p w14:paraId="03222C06" w14:textId="77777777" w:rsidR="00426307" w:rsidRPr="006F7496" w:rsidRDefault="00426307" w:rsidP="00426307">
      <w:pPr>
        <w:tabs>
          <w:tab w:val="left" w:pos="6379"/>
        </w:tabs>
        <w:ind w:firstLine="540"/>
        <w:rPr>
          <w:rFonts w:asciiTheme="minorHAnsi" w:hAnsiTheme="minorHAnsi" w:cstheme="minorHAnsi"/>
        </w:rPr>
      </w:pPr>
      <w:r w:rsidRPr="00902989">
        <w:rPr>
          <w:rFonts w:asciiTheme="minorHAnsi" w:hAnsiTheme="minorHAnsi" w:cstheme="minorHAnsi"/>
        </w:rPr>
        <w:t>Atsižvelgdamas į šiuos</w:t>
      </w:r>
      <w:r>
        <w:rPr>
          <w:rFonts w:asciiTheme="minorHAnsi" w:hAnsiTheme="minorHAnsi" w:cstheme="minorHAnsi"/>
        </w:rPr>
        <w:t xml:space="preserve"> ir kitus</w:t>
      </w:r>
      <w:r w:rsidRPr="00902989">
        <w:rPr>
          <w:rFonts w:asciiTheme="minorHAnsi" w:hAnsiTheme="minorHAnsi" w:cstheme="minorHAnsi"/>
        </w:rPr>
        <w:t xml:space="preserve"> argumentus</w:t>
      </w:r>
      <w:r>
        <w:rPr>
          <w:rFonts w:asciiTheme="minorHAnsi" w:hAnsiTheme="minorHAnsi" w:cstheme="minorHAnsi"/>
        </w:rPr>
        <w:t>,</w:t>
      </w:r>
      <w:r w:rsidRPr="00902989">
        <w:rPr>
          <w:rFonts w:asciiTheme="minorHAnsi" w:hAnsiTheme="minorHAnsi" w:cstheme="minorHAnsi"/>
        </w:rPr>
        <w:t xml:space="preserve"> Teisingumo Teismas nagrinėjo, ar ginčijamos gairės patenka, pirma, į EBI veiklos sritį ir, antra, į konkrečias Sąjungos teisės aktų leidėjo nustatytas EBI įgaliojimų priimti gaires įgyvendinimo ribas.</w:t>
      </w:r>
      <w:r>
        <w:rPr>
          <w:rFonts w:asciiTheme="minorHAnsi" w:hAnsiTheme="minorHAnsi" w:cstheme="minorHAnsi"/>
        </w:rPr>
        <w:t xml:space="preserve"> Išanalizavęs minėtiems klausimams reikšmingus aspektus, Teisingumo Teismas sprendė, kad </w:t>
      </w:r>
      <w:r w:rsidRPr="00902989">
        <w:rPr>
          <w:rFonts w:asciiTheme="minorHAnsi" w:hAnsiTheme="minorHAnsi" w:cstheme="minorHAnsi"/>
        </w:rPr>
        <w:t>prašymą priimti prejudicinį sprendimą pateikusio teismo prašomas galiojimo nagrinėjimas neatskleidė jokių aplinkybių, galinčių paneigti minėtų gairių galiojimą</w:t>
      </w:r>
      <w:r>
        <w:rPr>
          <w:rStyle w:val="Puslapioinaosnuoroda"/>
          <w:rFonts w:asciiTheme="minorHAnsi" w:hAnsiTheme="minorHAnsi" w:cstheme="minorHAnsi"/>
        </w:rPr>
        <w:footnoteReference w:id="25"/>
      </w:r>
      <w:r w:rsidRPr="00902989">
        <w:rPr>
          <w:rFonts w:asciiTheme="minorHAnsi" w:hAnsiTheme="minorHAnsi" w:cstheme="minorHAnsi"/>
        </w:rPr>
        <w:t>.</w:t>
      </w:r>
    </w:p>
    <w:p w14:paraId="50FFA324" w14:textId="77777777" w:rsidR="00426307" w:rsidRPr="00D239E5" w:rsidRDefault="00426307" w:rsidP="00426307">
      <w:pPr>
        <w:tabs>
          <w:tab w:val="left" w:pos="6379"/>
        </w:tabs>
        <w:ind w:firstLine="540"/>
        <w:rPr>
          <w:rStyle w:val="Hipersaitas"/>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 xml:space="preserve"> HYPERLINK "https://curia.europa.eu/juris/document/document.jsf?docid=244189&amp;mode=lst&amp;pageIndex=1&amp;dir=&amp;occ=first&amp;part=1&amp;text=&amp;doclang=LT&amp;cid=350141" </w:instrText>
      </w:r>
      <w:r>
        <w:rPr>
          <w:rFonts w:asciiTheme="minorHAnsi" w:hAnsiTheme="minorHAnsi" w:cstheme="minorHAnsi"/>
        </w:rPr>
        <w:fldChar w:fldCharType="separate"/>
      </w:r>
      <w:r w:rsidRPr="00D239E5">
        <w:rPr>
          <w:rStyle w:val="Hipersaitas"/>
          <w:rFonts w:asciiTheme="minorHAnsi" w:hAnsiTheme="minorHAnsi" w:cstheme="minorHAnsi"/>
        </w:rPr>
        <w:t>Prieiga internete</w:t>
      </w:r>
    </w:p>
    <w:p w14:paraId="0DACAA74" w14:textId="25927E22" w:rsidR="00C757B5" w:rsidRPr="009E1656" w:rsidRDefault="00426307" w:rsidP="009E1656">
      <w:pPr>
        <w:tabs>
          <w:tab w:val="left" w:pos="6379"/>
        </w:tabs>
        <w:ind w:firstLine="540"/>
        <w:rPr>
          <w:rFonts w:asciiTheme="minorHAnsi" w:hAnsiTheme="minorHAnsi" w:cstheme="minorHAnsi"/>
        </w:rPr>
      </w:pPr>
      <w:r>
        <w:rPr>
          <w:rFonts w:asciiTheme="minorHAnsi" w:hAnsiTheme="minorHAnsi" w:cstheme="minorHAnsi"/>
        </w:rPr>
        <w:fldChar w:fldCharType="end"/>
      </w:r>
    </w:p>
    <w:sectPr w:rsidR="00C757B5" w:rsidRPr="009E1656" w:rsidSect="009E1656">
      <w:headerReference w:type="default" r:id="rId30"/>
      <w:footerReference w:type="default" r:id="rId31"/>
      <w:pgSz w:w="11906" w:h="16838"/>
      <w:pgMar w:top="1134" w:right="851"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C82B" w14:textId="77777777" w:rsidR="004D029A" w:rsidRDefault="004D029A">
      <w:r>
        <w:separator/>
      </w:r>
    </w:p>
  </w:endnote>
  <w:endnote w:type="continuationSeparator" w:id="0">
    <w:p w14:paraId="036FE9BE" w14:textId="77777777" w:rsidR="004D029A" w:rsidRDefault="004D0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0"/>
        <w:szCs w:val="20"/>
      </w:rPr>
      <w:id w:val="-951236842"/>
      <w:docPartObj>
        <w:docPartGallery w:val="Page Numbers (Bottom of Page)"/>
        <w:docPartUnique/>
      </w:docPartObj>
    </w:sdtPr>
    <w:sdtEndPr/>
    <w:sdtContent>
      <w:sdt>
        <w:sdtPr>
          <w:rPr>
            <w:rFonts w:asciiTheme="minorHAnsi" w:hAnsiTheme="minorHAnsi"/>
            <w:sz w:val="20"/>
            <w:szCs w:val="20"/>
          </w:rPr>
          <w:id w:val="1588040077"/>
          <w:docPartObj>
            <w:docPartGallery w:val="Page Numbers (Top of Page)"/>
            <w:docPartUnique/>
          </w:docPartObj>
        </w:sdtPr>
        <w:sdtEndPr/>
        <w:sdtContent>
          <w:p w14:paraId="68C15003" w14:textId="77777777" w:rsidR="0099601C" w:rsidRPr="0078181C" w:rsidRDefault="0099601C" w:rsidP="00736158">
            <w:pPr>
              <w:pStyle w:val="Porat"/>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sidR="0016248B">
              <w:rPr>
                <w:rFonts w:asciiTheme="minorHAnsi" w:hAnsiTheme="minorHAnsi"/>
                <w:bCs/>
                <w:noProof/>
                <w:sz w:val="20"/>
                <w:szCs w:val="20"/>
              </w:rPr>
              <w:t>27</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sidR="0016248B">
              <w:rPr>
                <w:rFonts w:asciiTheme="minorHAnsi" w:hAnsiTheme="minorHAnsi"/>
                <w:bCs/>
                <w:noProof/>
                <w:sz w:val="20"/>
                <w:szCs w:val="20"/>
              </w:rPr>
              <w:t>27</w:t>
            </w:r>
            <w:r w:rsidRPr="00F15916">
              <w:rPr>
                <w:rFonts w:asciiTheme="minorHAnsi" w:hAnsiTheme="minorHAnsi"/>
                <w:bCs/>
                <w:sz w:val="20"/>
                <w:szCs w:val="20"/>
              </w:rPr>
              <w:fldChar w:fldCharType="end"/>
            </w:r>
          </w:p>
        </w:sdtContent>
      </w:sdt>
    </w:sdtContent>
  </w:sdt>
  <w:p w14:paraId="5B276432" w14:textId="77777777" w:rsidR="0099601C" w:rsidRDefault="0099601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7FB22" w14:textId="77777777" w:rsidR="004D029A" w:rsidRDefault="004D029A">
      <w:r>
        <w:separator/>
      </w:r>
    </w:p>
  </w:footnote>
  <w:footnote w:type="continuationSeparator" w:id="0">
    <w:p w14:paraId="7FE382C8" w14:textId="77777777" w:rsidR="004D029A" w:rsidRDefault="004D029A">
      <w:r>
        <w:continuationSeparator/>
      </w:r>
    </w:p>
  </w:footnote>
  <w:footnote w:id="1">
    <w:p w14:paraId="25D7E05C" w14:textId="77777777" w:rsidR="008B1BE6" w:rsidRDefault="008B1BE6" w:rsidP="008B1BE6">
      <w:pPr>
        <w:pStyle w:val="Puslapioinaostekstas"/>
      </w:pPr>
      <w:r>
        <w:rPr>
          <w:rStyle w:val="Puslapioinaosnuoroda"/>
        </w:rPr>
        <w:footnoteRef/>
      </w:r>
      <w:r>
        <w:t xml:space="preserve"> </w:t>
      </w:r>
      <w:r w:rsidRPr="00483428">
        <w:t>2006 m. lapkričio 28 d. Tarybos direktyva 2006/112/EB dėl pridėtinės vertės mokesčio bendros sistemos</w:t>
      </w:r>
    </w:p>
  </w:footnote>
  <w:footnote w:id="2">
    <w:p w14:paraId="56AEA5BB" w14:textId="77777777" w:rsidR="008C676D" w:rsidRPr="00EC0247" w:rsidRDefault="008C676D" w:rsidP="008C676D">
      <w:pPr>
        <w:pStyle w:val="Puslapioinaostekstas"/>
        <w:rPr>
          <w:rFonts w:asciiTheme="minorHAnsi" w:hAnsiTheme="minorHAnsi" w:cstheme="minorHAnsi"/>
        </w:rPr>
      </w:pPr>
      <w:r w:rsidRPr="00EC0247">
        <w:rPr>
          <w:rStyle w:val="Puslapioinaosnuoroda"/>
          <w:rFonts w:asciiTheme="minorHAnsi" w:hAnsiTheme="minorHAnsi" w:cstheme="minorHAnsi"/>
        </w:rPr>
        <w:footnoteRef/>
      </w:r>
      <w:r w:rsidRPr="00EC0247">
        <w:rPr>
          <w:rFonts w:asciiTheme="minorHAnsi" w:hAnsiTheme="minorHAnsi" w:cstheme="minorHAnsi"/>
        </w:rPr>
        <w:t xml:space="preserve">  2008 m. vasario 12 d. Tarybos direktyva 2008/9/EB, nustatanti Direktyvoje 2006/112/EB numatyto pridėtinės vertės mokesčio grąžinimo apmokestinamiesiems asmenims, kurie nėra įsisteigę PVM grąžinančioje valstybėje narėje, o yra įsisteigę kitoje valstybėje narėje, išsamias taisykles</w:t>
      </w:r>
    </w:p>
  </w:footnote>
  <w:footnote w:id="3">
    <w:p w14:paraId="0518ED2D" w14:textId="77777777" w:rsidR="008C676D" w:rsidRDefault="008C676D" w:rsidP="008C676D">
      <w:pPr>
        <w:pStyle w:val="Puslapioinaostekstas"/>
      </w:pPr>
      <w:r>
        <w:rPr>
          <w:rStyle w:val="Puslapioinaosnuoroda"/>
        </w:rPr>
        <w:footnoteRef/>
      </w:r>
      <w:r>
        <w:t xml:space="preserve">  </w:t>
      </w:r>
      <w:r w:rsidRPr="009C59A5">
        <w:t>„Kai PVM grąžinanti valstybė narė mano, kad ji neturi visos reikalingos informacijos, kuria remdamasi ji priimtų sprendimą dėl viso prašymo grąžinti PVM ar jo dalies, naudodamasi elektroninėmis priemonėmis, ji gali paprašyti visų pirma pareiškėjo arba įsisteigimo valstybės narės kompetentingų institucijų pateikti papildomą informaciją per 19 straipsnio 2 dalyje nurodytą keturių mėnesių laikotarpį. Kai papildomos informacijos prašoma ne iš pareiškėjo ar valstybės narės kompetentingos institucijos, prašymas elektroninėmis priemonėmis teikiamas tik tuo atveju, jeigu prašymo gavėjas gali naudotis tokiomis priemonėmis.</w:t>
      </w:r>
    </w:p>
  </w:footnote>
  <w:footnote w:id="4">
    <w:p w14:paraId="60D60D55" w14:textId="77777777" w:rsidR="008B1BE6" w:rsidRDefault="008B1BE6" w:rsidP="008B1BE6">
      <w:pPr>
        <w:pStyle w:val="Puslapioinaostekstas"/>
      </w:pPr>
      <w:r>
        <w:rPr>
          <w:rStyle w:val="Puslapioinaosnuoroda"/>
        </w:rPr>
        <w:footnoteRef/>
      </w:r>
      <w:r>
        <w:t xml:space="preserve">  </w:t>
      </w:r>
      <w:r w:rsidRPr="00AA5C60">
        <w:t>2006 m. lapkričio 28 d. Tarybos direktyva 2006/112/EB dėl pridėtinės vertės mokesčio bendros sistemos</w:t>
      </w:r>
    </w:p>
  </w:footnote>
  <w:footnote w:id="5">
    <w:p w14:paraId="6B1A5B48" w14:textId="77777777" w:rsidR="008B1BE6" w:rsidRDefault="008B1BE6" w:rsidP="008B1BE6">
      <w:pPr>
        <w:pStyle w:val="Puslapioinaostekstas"/>
      </w:pPr>
      <w:r>
        <w:rPr>
          <w:rStyle w:val="Puslapioinaosnuoroda"/>
        </w:rPr>
        <w:footnoteRef/>
      </w:r>
      <w:r>
        <w:t xml:space="preserve">  </w:t>
      </w:r>
      <w:r w:rsidRPr="00AA5C60">
        <w:t>2006 m. lapkričio 28 d. Tarybos direktyva 2006/112/EB dėl pridėtinės vertės mokesčio bendros sistemos</w:t>
      </w:r>
    </w:p>
  </w:footnote>
  <w:footnote w:id="6">
    <w:p w14:paraId="22D983D5" w14:textId="77777777" w:rsidR="008B1BE6" w:rsidRDefault="008B1BE6" w:rsidP="008B1BE6">
      <w:pPr>
        <w:pStyle w:val="Puslapioinaostekstas"/>
      </w:pPr>
      <w:r>
        <w:rPr>
          <w:rStyle w:val="Puslapioinaosnuoroda"/>
        </w:rPr>
        <w:footnoteRef/>
      </w:r>
      <w:r>
        <w:t xml:space="preserve">  </w:t>
      </w:r>
      <w:r w:rsidRPr="00AA5C60">
        <w:t>2006 m. lapkričio 28 d. Tarybos direktyva 2006/112/EB dėl pridėtinės vertės mokesčio bendros sistemos</w:t>
      </w:r>
    </w:p>
  </w:footnote>
  <w:footnote w:id="7">
    <w:p w14:paraId="1A583444" w14:textId="455113EF" w:rsidR="003952D8" w:rsidRPr="003952D8" w:rsidRDefault="003952D8">
      <w:pPr>
        <w:pStyle w:val="Puslapioinaostekstas"/>
        <w:rPr>
          <w:rFonts w:asciiTheme="minorHAnsi" w:hAnsiTheme="minorHAnsi" w:cstheme="minorHAnsi"/>
        </w:rPr>
      </w:pPr>
      <w:r>
        <w:rPr>
          <w:rStyle w:val="Puslapioinaosnuoroda"/>
        </w:rPr>
        <w:footnoteRef/>
      </w:r>
      <w:r>
        <w:t xml:space="preserve"> </w:t>
      </w:r>
      <w:r w:rsidRPr="003952D8">
        <w:rPr>
          <w:rFonts w:asciiTheme="minorHAnsi" w:hAnsiTheme="minorHAnsi" w:cstheme="minorHAnsi"/>
          <w:color w:val="000000"/>
        </w:rPr>
        <w:t>2006 m. gruodžio 12 d. Europos Parlamento ir Tarybos direktyva 2006/123/EB dėl paslaugų vidaus rinkoje (OL L 376, 2006, p. 36).</w:t>
      </w:r>
    </w:p>
  </w:footnote>
  <w:footnote w:id="8">
    <w:p w14:paraId="6DD7D870" w14:textId="40563F42" w:rsidR="003952D8" w:rsidRPr="003952D8" w:rsidRDefault="003952D8" w:rsidP="003952D8">
      <w:pPr>
        <w:pStyle w:val="c02alineaalta"/>
        <w:spacing w:before="0" w:beforeAutospacing="0" w:after="240" w:afterAutospacing="0"/>
        <w:jc w:val="both"/>
        <w:rPr>
          <w:rFonts w:asciiTheme="minorHAnsi" w:hAnsiTheme="minorHAnsi" w:cstheme="minorHAnsi"/>
          <w:color w:val="000000"/>
          <w:sz w:val="20"/>
          <w:szCs w:val="20"/>
        </w:rPr>
      </w:pPr>
      <w:r w:rsidRPr="003952D8">
        <w:rPr>
          <w:rStyle w:val="Puslapioinaosnuoroda"/>
          <w:rFonts w:asciiTheme="minorHAnsi" w:hAnsiTheme="minorHAnsi" w:cstheme="minorHAnsi"/>
          <w:sz w:val="20"/>
          <w:szCs w:val="20"/>
        </w:rPr>
        <w:footnoteRef/>
      </w:r>
      <w:r w:rsidRPr="003952D8">
        <w:rPr>
          <w:rFonts w:asciiTheme="minorHAnsi" w:hAnsiTheme="minorHAnsi" w:cstheme="minorHAnsi"/>
          <w:sz w:val="20"/>
          <w:szCs w:val="20"/>
        </w:rPr>
        <w:t xml:space="preserve"> </w:t>
      </w:r>
      <w:r w:rsidRPr="003952D8">
        <w:rPr>
          <w:rFonts w:asciiTheme="minorHAnsi" w:hAnsiTheme="minorHAnsi" w:cstheme="minorHAnsi"/>
          <w:color w:val="000000"/>
          <w:sz w:val="20"/>
          <w:szCs w:val="20"/>
        </w:rPr>
        <w:t>„Valstybės narės nekelia teisei teikti paslaugas ar paslaugų teikimo veiklos vykdymui savo teritorijoje nė vieno iš šių reikalavimų:</w:t>
      </w:r>
      <w:r>
        <w:rPr>
          <w:rFonts w:asciiTheme="minorHAnsi" w:hAnsiTheme="minorHAnsi" w:cstheme="minorHAnsi"/>
          <w:color w:val="000000"/>
          <w:sz w:val="20"/>
          <w:szCs w:val="20"/>
        </w:rPr>
        <w:t xml:space="preserve"> </w:t>
      </w:r>
      <w:r w:rsidRPr="003952D8">
        <w:rPr>
          <w:rFonts w:asciiTheme="minorHAnsi" w:hAnsiTheme="minorHAnsi" w:cstheme="minorHAnsi"/>
          <w:color w:val="000000"/>
          <w:sz w:val="20"/>
          <w:szCs w:val="20"/>
        </w:rPr>
        <w:t>&lt;…&gt;</w:t>
      </w:r>
      <w:r>
        <w:rPr>
          <w:rFonts w:asciiTheme="minorHAnsi" w:hAnsiTheme="minorHAnsi" w:cstheme="minorHAnsi"/>
          <w:color w:val="000000"/>
          <w:sz w:val="20"/>
          <w:szCs w:val="20"/>
        </w:rPr>
        <w:t xml:space="preserve"> </w:t>
      </w:r>
      <w:r w:rsidRPr="003952D8">
        <w:rPr>
          <w:rFonts w:asciiTheme="minorHAnsi" w:hAnsiTheme="minorHAnsi" w:cstheme="minorHAnsi"/>
          <w:color w:val="000000"/>
          <w:sz w:val="20"/>
          <w:szCs w:val="20"/>
        </w:rPr>
        <w:t>6)      tiesioginis ar netiesioginis konkuruojančių subjektų dalyvavimas, įskaitant jų dalyvavimą konsultacinių įstaigų veikloje, išskyrus profesines įstaigas ir asociacijas arba kitas organizacijas, veikiančias kaip kompetentinga institucija, išduodant leidimus arba priimant kitus kompetentingų institucijų sprendimus; šis draudimas netaikomas organizacijų, tokių kaip prekybos rūmai arba socialiniai partneriai, konsultacijoms, nesusijusioms su atskirais leidimų prašymais, ir konsultacijoms su plačiąja visuomene“</w:t>
      </w:r>
      <w:r>
        <w:rPr>
          <w:rFonts w:asciiTheme="minorHAnsi" w:hAnsiTheme="minorHAnsi" w:cstheme="minorHAnsi"/>
          <w:color w:val="000000"/>
          <w:sz w:val="20"/>
          <w:szCs w:val="20"/>
        </w:rPr>
        <w:t>.</w:t>
      </w:r>
    </w:p>
    <w:p w14:paraId="5A52470F" w14:textId="0C973D72" w:rsidR="003952D8" w:rsidRDefault="003952D8">
      <w:pPr>
        <w:pStyle w:val="Puslapioinaostekstas"/>
      </w:pPr>
    </w:p>
  </w:footnote>
  <w:footnote w:id="9">
    <w:p w14:paraId="59C7A978" w14:textId="77777777" w:rsidR="005C5E3F" w:rsidRDefault="005C5E3F" w:rsidP="005C5E3F">
      <w:pPr>
        <w:pStyle w:val="Puslapioinaostekstas"/>
      </w:pPr>
      <w:r>
        <w:rPr>
          <w:rStyle w:val="Puslapioinaosnuoroda"/>
        </w:rPr>
        <w:footnoteRef/>
      </w:r>
      <w:r>
        <w:t xml:space="preserve"> </w:t>
      </w:r>
      <w:r w:rsidRPr="00305254">
        <w:t>2005 m. rugsėjo 7 d. Europos Parlamento ir Tarybos direktyvos 2005/36/EB dėl profesinių kvalifikacijų pripažinimo (OL L 255, 2005, p. 22), iš dalies pakeistos 2013 m. lapkričio 20 d. Europos Parlamento ir Tarybos direktyva 2013/55/ES (OL L 354, 2013, p. 132)</w:t>
      </w:r>
      <w:r>
        <w:t xml:space="preserve">. </w:t>
      </w:r>
    </w:p>
  </w:footnote>
  <w:footnote w:id="10">
    <w:p w14:paraId="3AFEF98A" w14:textId="77777777" w:rsidR="00B51A6D" w:rsidRPr="00117DAF" w:rsidRDefault="00B51A6D" w:rsidP="00B51A6D">
      <w:pPr>
        <w:pStyle w:val="Puslapioinaostekstas"/>
        <w:rPr>
          <w:rFonts w:asciiTheme="minorHAnsi" w:hAnsiTheme="minorHAnsi" w:cstheme="minorHAnsi"/>
        </w:rPr>
      </w:pPr>
      <w:r w:rsidRPr="00117DAF">
        <w:rPr>
          <w:rStyle w:val="Puslapioinaosnuoroda"/>
          <w:rFonts w:asciiTheme="minorHAnsi" w:hAnsiTheme="minorHAnsi" w:cstheme="minorHAnsi"/>
        </w:rPr>
        <w:footnoteRef/>
      </w:r>
      <w:r w:rsidRPr="00117DAF">
        <w:rPr>
          <w:rFonts w:asciiTheme="minorHAnsi" w:hAnsiTheme="minorHAnsi" w:cstheme="minorHAnsi"/>
        </w:rPr>
        <w:t xml:space="preserve"> 2004 m. balandžio 29 d. Europos Parlamento ir tarybos Direktyva 2004/38/EB dėl Sąjungos piliečių ir jų šeimos narių teisės laisvai judėti ir gyventi valstybių narių teritorijoje, iš dalies keičianti Reglamentą (EEB) Nr. 1612/68 ir panaikinanti Direktyvas 64/221/EEB, 68/360/EEB, 72/194/EEB, 73/148/EEB, 75/34/EEB, 75/35/EEB, 90/364/EEB, 90/365/EEB ir 93/96/EEB</w:t>
      </w:r>
    </w:p>
  </w:footnote>
  <w:footnote w:id="11">
    <w:p w14:paraId="285CFB21" w14:textId="77777777" w:rsidR="0081236B" w:rsidRPr="005B6952" w:rsidRDefault="0081236B" w:rsidP="0081236B">
      <w:pPr>
        <w:pStyle w:val="Puslapioinaostekstas"/>
        <w:rPr>
          <w:lang w:val="en-US"/>
        </w:rPr>
      </w:pPr>
      <w:r>
        <w:rPr>
          <w:rStyle w:val="Puslapioinaosnuoroda"/>
        </w:rPr>
        <w:footnoteRef/>
      </w:r>
      <w:r>
        <w:t xml:space="preserve"> </w:t>
      </w:r>
      <w:r w:rsidRPr="005B6952">
        <w:rPr>
          <w:iCs/>
        </w:rPr>
        <w:t>2004 m. balandžio 29 d. Europos Parlamento ir Tarybos reglament</w:t>
      </w:r>
      <w:r>
        <w:rPr>
          <w:iCs/>
        </w:rPr>
        <w:t>as</w:t>
      </w:r>
      <w:r w:rsidRPr="005B6952">
        <w:rPr>
          <w:iCs/>
        </w:rPr>
        <w:t xml:space="preserve"> (EB) Nr. 883/2004 dėl socialinės apsaugos sistemų koordinavimo, iš dalies pakeisto 2012 m. gegužės 22 d. Europos Parlamento ir Tarybos reglamentu (ES) Nr. 465/2012</w:t>
      </w:r>
    </w:p>
  </w:footnote>
  <w:footnote w:id="12">
    <w:p w14:paraId="53769210" w14:textId="77777777" w:rsidR="0081236B" w:rsidRPr="00C7783C" w:rsidRDefault="0081236B" w:rsidP="0081236B">
      <w:pPr>
        <w:pStyle w:val="Puslapioinaostekstas"/>
        <w:rPr>
          <w:lang w:val="en-US"/>
        </w:rPr>
      </w:pPr>
      <w:r>
        <w:rPr>
          <w:rStyle w:val="Puslapioinaosnuoroda"/>
        </w:rPr>
        <w:footnoteRef/>
      </w:r>
      <w:r>
        <w:t xml:space="preserve"> </w:t>
      </w:r>
      <w:r w:rsidRPr="00C7783C">
        <w:rPr>
          <w:iCs/>
        </w:rPr>
        <w:t>2004 m. balandžio 29 d. Europos Parlamento ir Tarybos reglament</w:t>
      </w:r>
      <w:r>
        <w:rPr>
          <w:iCs/>
        </w:rPr>
        <w:t>as</w:t>
      </w:r>
      <w:r w:rsidRPr="00C7783C">
        <w:rPr>
          <w:iCs/>
        </w:rPr>
        <w:t xml:space="preserve"> (EB) Nr. 883/2004 dėl socialinės apsaugos sistemų koordinavimo</w:t>
      </w:r>
      <w:r>
        <w:rPr>
          <w:iCs/>
        </w:rPr>
        <w:t>, i</w:t>
      </w:r>
      <w:r w:rsidRPr="00C7783C">
        <w:rPr>
          <w:iCs/>
        </w:rPr>
        <w:t>š dalies pakeist</w:t>
      </w:r>
      <w:r>
        <w:rPr>
          <w:iCs/>
        </w:rPr>
        <w:t>as</w:t>
      </w:r>
      <w:r w:rsidRPr="00C7783C">
        <w:rPr>
          <w:iCs/>
        </w:rPr>
        <w:t xml:space="preserve"> 2009 m. rugsėjo 16 d. Europos Parlamento ir Tarybos reglamentu (EB) Nr. 988/2009</w:t>
      </w:r>
    </w:p>
  </w:footnote>
  <w:footnote w:id="13">
    <w:p w14:paraId="4CE8C21D" w14:textId="16F5CFEC" w:rsidR="0038629E" w:rsidRDefault="0038629E" w:rsidP="0038629E">
      <w:pPr>
        <w:pStyle w:val="Puslapioinaostekstas"/>
      </w:pPr>
      <w:r>
        <w:rPr>
          <w:rStyle w:val="Puslapioinaosnuoroda"/>
        </w:rPr>
        <w:footnoteRef/>
      </w:r>
      <w:r>
        <w:t xml:space="preserve"> 2003 m. lapkričio 4 d. Europos parlamento ir tarybos direktyva 2003/88/EB dėl tam tikrų darbo laiko organizavimo aspektų</w:t>
      </w:r>
      <w:r w:rsidR="005A16AD">
        <w:t>.</w:t>
      </w:r>
    </w:p>
  </w:footnote>
  <w:footnote w:id="14">
    <w:p w14:paraId="759B8FB2" w14:textId="77777777" w:rsidR="00154763" w:rsidRDefault="00154763" w:rsidP="00154763">
      <w:pPr>
        <w:pStyle w:val="Puslapioinaostekstas"/>
      </w:pPr>
      <w:r>
        <w:rPr>
          <w:rStyle w:val="Puslapioinaosnuoroda"/>
        </w:rPr>
        <w:footnoteRef/>
      </w:r>
      <w:r>
        <w:t xml:space="preserve"> </w:t>
      </w:r>
      <w:r w:rsidRPr="00305254">
        <w:t>2002 m. liepos 12 d. Europos Parlamento ir Tarybos direktyvos 2002/58/EB dėl asmens duomenų tvarkymo ir privatumo apsaugos elektroninių ryšių sektoriuje (Direktyva dėl privatumo ir elektroninių ryšių) (OL L 201, 2002, p. 37; 2004 m. specialusis leidimas lietuvių k., 13 t., p. 29 p. 514), iš dalies pakeistos 2009 m. lapkričio 25 d. Europos Parlamento ir Tarybos direktyva 2009/136/EB (OL L 337, 2009, p. 11; klaidų ištaisymas OL L 241, 2013, p. 9 ir OL L 275, 2014, p. 8</w:t>
      </w:r>
      <w:r>
        <w:t>.</w:t>
      </w:r>
    </w:p>
  </w:footnote>
  <w:footnote w:id="15">
    <w:p w14:paraId="6BE4A88E" w14:textId="77777777" w:rsidR="00154763" w:rsidRDefault="00154763" w:rsidP="00154763">
      <w:pPr>
        <w:pStyle w:val="Puslapioinaostekstas"/>
      </w:pPr>
      <w:r>
        <w:rPr>
          <w:rStyle w:val="Puslapioinaosnuoroda"/>
        </w:rPr>
        <w:footnoteRef/>
      </w:r>
      <w:r>
        <w:t xml:space="preserve"> </w:t>
      </w:r>
      <w:r w:rsidRPr="00305254">
        <w:t>2005 m. gegužės 11 d. Europos Parlamento ir Tarybos direktyvos 2005/29/EB dėl nesąžiningos įmonių komercinės veiklos vartotojų atžvilgiu vidaus rinkoje ir iš dalies keičiančios Tarybos direktyvą 84/450/EEB, Europos Parlamento ir Tarybos direktyvas 97/7/EB, 98/27/EB bei 2002/65/EB ir Europos Parlamento ir Tarybos reglamentą (EB) Nr. 2006/2004 („Nesąžiningos komercinės veiklos direktyva“) (OL L 149, 2005, p. 22)</w:t>
      </w:r>
      <w:r>
        <w:t>.</w:t>
      </w:r>
    </w:p>
  </w:footnote>
  <w:footnote w:id="16">
    <w:p w14:paraId="6720CCEC" w14:textId="77777777" w:rsidR="0057454E" w:rsidRPr="00322967" w:rsidRDefault="0057454E" w:rsidP="0057454E">
      <w:pPr>
        <w:rPr>
          <w:rFonts w:asciiTheme="minorHAnsi" w:hAnsiTheme="minorHAnsi" w:cstheme="minorHAnsi"/>
          <w:iCs/>
          <w:sz w:val="20"/>
          <w:szCs w:val="20"/>
          <w:shd w:val="clear" w:color="auto" w:fill="FFFFFF"/>
        </w:rPr>
      </w:pPr>
      <w:r w:rsidRPr="006C6208">
        <w:rPr>
          <w:rStyle w:val="Puslapioinaosnuoroda"/>
          <w:rFonts w:asciiTheme="minorHAnsi" w:hAnsiTheme="minorHAnsi" w:cstheme="minorHAnsi"/>
          <w:sz w:val="20"/>
          <w:szCs w:val="20"/>
        </w:rPr>
        <w:footnoteRef/>
      </w:r>
      <w:r w:rsidRPr="006C6208">
        <w:rPr>
          <w:rFonts w:asciiTheme="minorHAnsi" w:hAnsiTheme="minorHAnsi" w:cstheme="minorHAnsi"/>
          <w:sz w:val="20"/>
          <w:szCs w:val="20"/>
        </w:rPr>
        <w:t xml:space="preserve"> </w:t>
      </w:r>
      <w:r w:rsidRPr="00322967">
        <w:rPr>
          <w:rFonts w:asciiTheme="minorHAnsi" w:hAnsiTheme="minorHAnsi" w:cstheme="minorHAnsi"/>
          <w:iCs/>
          <w:sz w:val="20"/>
          <w:szCs w:val="20"/>
          <w:shd w:val="clear" w:color="auto" w:fill="FFFFFF"/>
        </w:rPr>
        <w:t>2006 m. kovo 15 d. Europos Parlamento ir Tarybos reglamentas (EB) Nr. 561/2006 dėl tam tikrų su kelių transportu susijusių socialinių teisės aktų suderinimo ir iš dalies keičiantis Tarybos reglamentus (EEB) Nr. 3821/85 ir (EB) Nr.</w:t>
      </w:r>
      <w:r>
        <w:rPr>
          <w:rFonts w:asciiTheme="minorHAnsi" w:hAnsiTheme="minorHAnsi" w:cstheme="minorHAnsi"/>
          <w:iCs/>
          <w:sz w:val="20"/>
          <w:szCs w:val="20"/>
          <w:shd w:val="clear" w:color="auto" w:fill="FFFFFF"/>
        </w:rPr>
        <w:t> </w:t>
      </w:r>
      <w:r w:rsidRPr="00322967">
        <w:rPr>
          <w:rFonts w:asciiTheme="minorHAnsi" w:hAnsiTheme="minorHAnsi" w:cstheme="minorHAnsi"/>
          <w:iCs/>
          <w:sz w:val="20"/>
          <w:szCs w:val="20"/>
          <w:shd w:val="clear" w:color="auto" w:fill="FFFFFF"/>
        </w:rPr>
        <w:t>2135/98 bei panaikinantis Reglamentą (EEB) Nr. 3820/85</w:t>
      </w:r>
      <w:r>
        <w:rPr>
          <w:rFonts w:asciiTheme="minorHAnsi" w:hAnsiTheme="minorHAnsi" w:cstheme="minorHAnsi"/>
          <w:iCs/>
          <w:sz w:val="20"/>
          <w:szCs w:val="20"/>
          <w:shd w:val="clear" w:color="auto" w:fill="FFFFFF"/>
        </w:rPr>
        <w:t xml:space="preserve"> (</w:t>
      </w:r>
      <w:r w:rsidRPr="009D36E6">
        <w:rPr>
          <w:rFonts w:asciiTheme="minorHAnsi" w:hAnsiTheme="minorHAnsi" w:cstheme="minorHAnsi"/>
          <w:sz w:val="20"/>
          <w:szCs w:val="20"/>
          <w:shd w:val="clear" w:color="auto" w:fill="FFFFFF"/>
        </w:rPr>
        <w:t>O</w:t>
      </w:r>
      <w:r>
        <w:rPr>
          <w:rFonts w:asciiTheme="minorHAnsi" w:hAnsiTheme="minorHAnsi" w:cstheme="minorHAnsi"/>
          <w:sz w:val="20"/>
          <w:szCs w:val="20"/>
          <w:shd w:val="clear" w:color="auto" w:fill="FFFFFF"/>
        </w:rPr>
        <w:t>L</w:t>
      </w:r>
      <w:r w:rsidRPr="009D36E6">
        <w:rPr>
          <w:rFonts w:asciiTheme="minorHAnsi" w:hAnsiTheme="minorHAnsi" w:cstheme="minorHAnsi"/>
          <w:sz w:val="20"/>
          <w:szCs w:val="20"/>
          <w:shd w:val="clear" w:color="auto" w:fill="FFFFFF"/>
        </w:rPr>
        <w:t xml:space="preserve"> L 102, p. 1</w:t>
      </w:r>
      <w:r>
        <w:rPr>
          <w:rFonts w:asciiTheme="minorHAnsi" w:hAnsiTheme="minorHAnsi" w:cstheme="minorHAnsi"/>
          <w:iCs/>
          <w:sz w:val="20"/>
          <w:szCs w:val="20"/>
          <w:shd w:val="clear" w:color="auto" w:fill="FFFFFF"/>
        </w:rPr>
        <w:t>).</w:t>
      </w:r>
    </w:p>
  </w:footnote>
  <w:footnote w:id="17">
    <w:p w14:paraId="70627464" w14:textId="77777777" w:rsidR="0057454E" w:rsidRPr="00322967" w:rsidRDefault="0057454E" w:rsidP="0057454E">
      <w:pPr>
        <w:rPr>
          <w:rFonts w:asciiTheme="minorHAnsi" w:hAnsiTheme="minorHAnsi" w:cstheme="minorHAnsi"/>
          <w:iCs/>
          <w:sz w:val="20"/>
          <w:szCs w:val="20"/>
          <w:shd w:val="clear" w:color="auto" w:fill="FFFFFF"/>
        </w:rPr>
      </w:pPr>
      <w:r w:rsidRPr="006C6208">
        <w:rPr>
          <w:rStyle w:val="Puslapioinaosnuoroda"/>
          <w:rFonts w:asciiTheme="minorHAnsi" w:hAnsiTheme="minorHAnsi" w:cstheme="minorHAnsi"/>
          <w:sz w:val="20"/>
          <w:szCs w:val="20"/>
        </w:rPr>
        <w:footnoteRef/>
      </w:r>
      <w:r w:rsidRPr="006C6208">
        <w:rPr>
          <w:rFonts w:asciiTheme="minorHAnsi" w:hAnsiTheme="minorHAnsi" w:cstheme="minorHAnsi"/>
          <w:sz w:val="20"/>
          <w:szCs w:val="20"/>
        </w:rPr>
        <w:t xml:space="preserve"> </w:t>
      </w:r>
      <w:r w:rsidRPr="00BB450E">
        <w:rPr>
          <w:rFonts w:asciiTheme="minorHAnsi" w:hAnsiTheme="minorHAnsi" w:cstheme="minorHAnsi"/>
          <w:iCs/>
          <w:sz w:val="20"/>
          <w:szCs w:val="20"/>
          <w:shd w:val="clear" w:color="auto" w:fill="FFFFFF"/>
        </w:rPr>
        <w:t xml:space="preserve">1985 m. gruodžio 20 d. Tarybos reglamentas (EEB) Nr. </w:t>
      </w:r>
      <w:r w:rsidRPr="00BB450E">
        <w:rPr>
          <w:rFonts w:asciiTheme="minorHAnsi" w:hAnsiTheme="minorHAnsi" w:cstheme="minorHAnsi"/>
          <w:iCs/>
          <w:sz w:val="20"/>
          <w:szCs w:val="20"/>
          <w:shd w:val="clear" w:color="auto" w:fill="FFFFFF"/>
        </w:rPr>
        <w:t>3821/85 dėl kelių transporto priemonėse naudojamų tachografų</w:t>
      </w:r>
      <w:r>
        <w:rPr>
          <w:rFonts w:asciiTheme="minorHAnsi" w:hAnsiTheme="minorHAnsi" w:cstheme="minorHAnsi"/>
          <w:iCs/>
          <w:sz w:val="20"/>
          <w:szCs w:val="20"/>
          <w:shd w:val="clear" w:color="auto" w:fill="FFFFFF"/>
        </w:rPr>
        <w:t xml:space="preserve"> (</w:t>
      </w:r>
      <w:r w:rsidRPr="00E90AE8">
        <w:rPr>
          <w:rFonts w:asciiTheme="minorHAnsi" w:hAnsiTheme="minorHAnsi" w:cstheme="minorHAnsi"/>
          <w:iCs/>
          <w:sz w:val="20"/>
          <w:szCs w:val="20"/>
          <w:shd w:val="clear" w:color="auto" w:fill="FFFFFF"/>
        </w:rPr>
        <w:t>O</w:t>
      </w:r>
      <w:r>
        <w:rPr>
          <w:rFonts w:asciiTheme="minorHAnsi" w:hAnsiTheme="minorHAnsi" w:cstheme="minorHAnsi"/>
          <w:iCs/>
          <w:sz w:val="20"/>
          <w:szCs w:val="20"/>
          <w:shd w:val="clear" w:color="auto" w:fill="FFFFFF"/>
        </w:rPr>
        <w:t>L</w:t>
      </w:r>
      <w:r w:rsidRPr="00E90AE8">
        <w:rPr>
          <w:rFonts w:asciiTheme="minorHAnsi" w:hAnsiTheme="minorHAnsi" w:cstheme="minorHAnsi"/>
          <w:iCs/>
          <w:sz w:val="20"/>
          <w:szCs w:val="20"/>
          <w:shd w:val="clear" w:color="auto" w:fill="FFFFFF"/>
        </w:rPr>
        <w:t xml:space="preserve"> L 370, p. 8</w:t>
      </w:r>
      <w:r>
        <w:rPr>
          <w:rFonts w:asciiTheme="minorHAnsi" w:hAnsiTheme="minorHAnsi" w:cstheme="minorHAnsi"/>
          <w:iCs/>
          <w:sz w:val="20"/>
          <w:szCs w:val="20"/>
          <w:shd w:val="clear" w:color="auto" w:fill="FFFFFF"/>
        </w:rPr>
        <w:t>).</w:t>
      </w:r>
    </w:p>
  </w:footnote>
  <w:footnote w:id="18">
    <w:p w14:paraId="38643A9B" w14:textId="77777777" w:rsidR="0070684E" w:rsidRPr="00241686" w:rsidRDefault="0070684E" w:rsidP="0070684E">
      <w:pPr>
        <w:pStyle w:val="Puslapioinaostekstas"/>
        <w:rPr>
          <w:lang w:val="en-US"/>
        </w:rPr>
      </w:pPr>
      <w:r>
        <w:rPr>
          <w:rStyle w:val="Puslapioinaosnuoroda"/>
        </w:rPr>
        <w:footnoteRef/>
      </w:r>
      <w:r>
        <w:t xml:space="preserve"> 1</w:t>
      </w:r>
      <w:r>
        <w:rPr>
          <w:rFonts w:ascii="Open Sans" w:hAnsi="Open Sans" w:cs="Open Sans"/>
          <w:color w:val="000000"/>
          <w:sz w:val="18"/>
          <w:szCs w:val="18"/>
        </w:rPr>
        <w:t>999 m. kovo 22 d. Tarybos reglamentas (EB) Nr. 659/1999, nustatantis išsamias SESV 108 straipsnio taikymo taisykles (OL L 83, 1999, p. 1).</w:t>
      </w:r>
    </w:p>
  </w:footnote>
  <w:footnote w:id="19">
    <w:p w14:paraId="7829252C" w14:textId="77777777" w:rsidR="0070684E" w:rsidRPr="008E5A33" w:rsidRDefault="0070684E" w:rsidP="0070684E">
      <w:pPr>
        <w:pStyle w:val="Puslapioinaostekstas"/>
        <w:rPr>
          <w:lang w:val="en-US"/>
        </w:rPr>
      </w:pPr>
      <w:r>
        <w:rPr>
          <w:rStyle w:val="Puslapioinaosnuoroda"/>
        </w:rPr>
        <w:footnoteRef/>
      </w:r>
      <w:r>
        <w:t xml:space="preserve"> </w:t>
      </w:r>
      <w:r>
        <w:rPr>
          <w:rFonts w:ascii="Open Sans" w:hAnsi="Open Sans" w:cs="Open Sans"/>
          <w:color w:val="000000"/>
          <w:sz w:val="18"/>
          <w:szCs w:val="18"/>
        </w:rPr>
        <w:t>2004 m. balandžio 21 d. Komisijos reglamentas (EB) Nr. 794/2004, įgyvendinantis Reglamentą Nr. 659/1999 (OL L 140, 2004, p. 1). </w:t>
      </w:r>
    </w:p>
  </w:footnote>
  <w:footnote w:id="20">
    <w:p w14:paraId="7068EBBC" w14:textId="7BED5E41" w:rsidR="0069032F" w:rsidRPr="0069032F" w:rsidRDefault="0069032F" w:rsidP="0069032F">
      <w:pPr>
        <w:pStyle w:val="Betarp"/>
        <w:jc w:val="both"/>
        <w:rPr>
          <w:rFonts w:ascii="Calibri" w:hAnsi="Calibri" w:cs="Calibri"/>
          <w:sz w:val="20"/>
          <w:szCs w:val="20"/>
          <w:lang w:val="lt-LT"/>
        </w:rPr>
      </w:pPr>
      <w:r w:rsidRPr="0069032F">
        <w:rPr>
          <w:rStyle w:val="Puslapioinaosnuoroda"/>
          <w:rFonts w:ascii="Calibri" w:hAnsi="Calibri" w:cs="Calibri"/>
          <w:sz w:val="20"/>
          <w:szCs w:val="20"/>
          <w:lang w:val="lt-LT"/>
        </w:rPr>
        <w:footnoteRef/>
      </w:r>
      <w:r w:rsidRPr="0069032F">
        <w:rPr>
          <w:rFonts w:ascii="Calibri" w:hAnsi="Calibri" w:cs="Calibri"/>
          <w:sz w:val="20"/>
          <w:szCs w:val="20"/>
          <w:lang w:val="lt-LT"/>
        </w:rPr>
        <w:t xml:space="preserve"> 2013 m. gruodžio 17 d. Europos Parlamento ir Tarybos reglamentas (ES) Nr. 1305/2013 dėl paramos kaimo plėtrai, teikiamos Europos žemės ūkio fondo kaimo plėtrai (EŽŪFKP) lėšomis, kuriuo panaikinamas Tarybos reglamentas (EB) Nr. 1698/2005.</w:t>
      </w:r>
    </w:p>
    <w:p w14:paraId="0428880E" w14:textId="77777777" w:rsidR="0069032F" w:rsidRPr="0069032F" w:rsidRDefault="0069032F" w:rsidP="0069032F">
      <w:pPr>
        <w:pStyle w:val="Puslapioinaostekstas"/>
        <w:rPr>
          <w:rFonts w:cs="Calibri"/>
        </w:rPr>
      </w:pPr>
    </w:p>
  </w:footnote>
  <w:footnote w:id="21">
    <w:p w14:paraId="21F84533" w14:textId="1F1ECEB9" w:rsidR="0069032F" w:rsidRPr="0069032F" w:rsidRDefault="0069032F" w:rsidP="0069032F">
      <w:pPr>
        <w:pStyle w:val="Betarp"/>
        <w:jc w:val="both"/>
        <w:rPr>
          <w:rFonts w:asciiTheme="minorHAnsi" w:hAnsiTheme="minorHAnsi" w:cstheme="minorHAnsi"/>
          <w:sz w:val="20"/>
          <w:szCs w:val="20"/>
          <w:lang w:val="lt-LT"/>
        </w:rPr>
      </w:pPr>
      <w:r w:rsidRPr="0069032F">
        <w:rPr>
          <w:rStyle w:val="Puslapioinaosnuoroda"/>
          <w:rFonts w:asciiTheme="minorHAnsi" w:hAnsiTheme="minorHAnsi" w:cstheme="minorHAnsi"/>
          <w:sz w:val="20"/>
          <w:szCs w:val="20"/>
          <w:lang w:val="lt-LT"/>
        </w:rPr>
        <w:footnoteRef/>
      </w:r>
      <w:r w:rsidRPr="0069032F">
        <w:rPr>
          <w:rFonts w:asciiTheme="minorHAnsi" w:hAnsiTheme="minorHAnsi" w:cstheme="minorHAnsi"/>
          <w:sz w:val="20"/>
          <w:szCs w:val="20"/>
          <w:lang w:val="lt-LT"/>
        </w:rPr>
        <w:t xml:space="preserve"> 2009 m. spalio 29 d. Komisijos reglamentas (EB) Nr. 1220/2009, kuriuo nustatomos išsamios Tarybos reglamento (EB) Nr. 73/2009, nustatančio bendrąsias tiesioginės paramos schemų pagal bendrą žemės ūkio politiką taisykles ir nustatančio tam tikras paramos schemas ūkininkams, III antraštinėje dalyje numatytos bendrosios išmokos schemos taikymo taisyklės</w:t>
      </w:r>
      <w:r>
        <w:rPr>
          <w:rFonts w:asciiTheme="minorHAnsi" w:hAnsiTheme="minorHAnsi" w:cstheme="minorHAnsi"/>
          <w:sz w:val="20"/>
          <w:szCs w:val="20"/>
          <w:lang w:val="lt-LT"/>
        </w:rPr>
        <w:t>.</w:t>
      </w:r>
    </w:p>
    <w:p w14:paraId="4C836D46" w14:textId="77777777" w:rsidR="0069032F" w:rsidRDefault="0069032F" w:rsidP="0069032F">
      <w:pPr>
        <w:pStyle w:val="Puslapioinaostekstas"/>
      </w:pPr>
    </w:p>
  </w:footnote>
  <w:footnote w:id="22">
    <w:p w14:paraId="7DDF2B4A" w14:textId="77777777" w:rsidR="001268DF" w:rsidRDefault="001268DF" w:rsidP="001268DF">
      <w:pPr>
        <w:pStyle w:val="Puslapioinaostekstas"/>
      </w:pPr>
      <w:r>
        <w:rPr>
          <w:rStyle w:val="Puslapioinaosnuoroda"/>
        </w:rPr>
        <w:footnoteRef/>
      </w:r>
      <w:r>
        <w:t xml:space="preserve"> </w:t>
      </w:r>
      <w:r>
        <w:rPr>
          <w:rFonts w:ascii="Open Sans" w:hAnsi="Open Sans" w:cs="Open Sans"/>
          <w:color w:val="000000"/>
          <w:sz w:val="18"/>
          <w:szCs w:val="18"/>
        </w:rPr>
        <w:t>1982 m. spalio 6 d. Teisingumo Teismo sprendimas </w:t>
      </w:r>
      <w:r>
        <w:rPr>
          <w:rFonts w:ascii="Open Sans" w:hAnsi="Open Sans" w:cs="Open Sans"/>
          <w:i/>
          <w:iCs/>
          <w:color w:val="000000"/>
          <w:sz w:val="18"/>
          <w:szCs w:val="18"/>
        </w:rPr>
        <w:t>Cilfit ir kt.,</w:t>
      </w:r>
      <w:r>
        <w:rPr>
          <w:rFonts w:ascii="Open Sans" w:hAnsi="Open Sans" w:cs="Open Sans"/>
          <w:color w:val="000000"/>
          <w:sz w:val="18"/>
          <w:szCs w:val="18"/>
        </w:rPr>
        <w:t> 283/81, EU:C:1982:335.</w:t>
      </w:r>
    </w:p>
  </w:footnote>
  <w:footnote w:id="23">
    <w:p w14:paraId="19D8A11B" w14:textId="77777777" w:rsidR="00426307" w:rsidRPr="00117DAF" w:rsidRDefault="00426307" w:rsidP="00426307">
      <w:pPr>
        <w:pStyle w:val="Puslapioinaostekstas"/>
        <w:rPr>
          <w:rFonts w:asciiTheme="minorHAnsi" w:hAnsiTheme="minorHAnsi" w:cstheme="minorHAnsi"/>
        </w:rPr>
      </w:pPr>
      <w:r w:rsidRPr="00117DAF">
        <w:rPr>
          <w:rStyle w:val="Puslapioinaosnuoroda"/>
          <w:rFonts w:asciiTheme="minorHAnsi" w:hAnsiTheme="minorHAnsi" w:cstheme="minorHAnsi"/>
        </w:rPr>
        <w:footnoteRef/>
      </w:r>
      <w:r w:rsidRPr="00117DAF">
        <w:rPr>
          <w:rFonts w:asciiTheme="minorHAnsi" w:hAnsiTheme="minorHAnsi" w:cstheme="minorHAnsi"/>
        </w:rPr>
        <w:t xml:space="preserve"> 2016 m. kovo 22 d. Europos bankininkystės institucijos (EBI) Mažmeninės bankininkystės produktų priežiūros ir valdymo gairės (ABE/GL/2015/18).</w:t>
      </w:r>
    </w:p>
  </w:footnote>
  <w:footnote w:id="24">
    <w:p w14:paraId="26A944AE" w14:textId="77777777" w:rsidR="00426307" w:rsidRPr="00117DAF" w:rsidRDefault="00426307" w:rsidP="00426307">
      <w:pPr>
        <w:pStyle w:val="Puslapioinaostekstas"/>
        <w:rPr>
          <w:rFonts w:asciiTheme="minorHAnsi" w:hAnsiTheme="minorHAnsi" w:cstheme="minorHAnsi"/>
        </w:rPr>
      </w:pPr>
      <w:r w:rsidRPr="00117DAF">
        <w:rPr>
          <w:rStyle w:val="Puslapioinaosnuoroda"/>
          <w:rFonts w:asciiTheme="minorHAnsi" w:hAnsiTheme="minorHAnsi" w:cstheme="minorHAnsi"/>
        </w:rPr>
        <w:footnoteRef/>
      </w:r>
      <w:r w:rsidRPr="00117DAF">
        <w:rPr>
          <w:rFonts w:asciiTheme="minorHAnsi" w:hAnsiTheme="minorHAnsi" w:cstheme="minorHAnsi"/>
        </w:rPr>
        <w:t xml:space="preserve"> </w:t>
      </w:r>
      <w:r w:rsidRPr="00117DAF">
        <w:rPr>
          <w:rFonts w:asciiTheme="minorHAnsi" w:hAnsiTheme="minorHAnsi" w:cstheme="minorHAnsi"/>
          <w:color w:val="000000"/>
        </w:rPr>
        <w:t>2010 m. lapkričio 24 d. Europos Parlamento ir Tarybos reglamento (ES) Nr. 1093/2010, kuriuo įsteigiama Europos priežiūros institucija (Europos bankininkystės institucija), iš dalies keičiamas Sprendimas Nr. 716/2009/EB ir panaikinamas Komisijos sprendimas 2009/78/EB (OL L 331, 2010, p. 12), 16 straipsnio 3 dalis.</w:t>
      </w:r>
    </w:p>
  </w:footnote>
  <w:footnote w:id="25">
    <w:p w14:paraId="46BC7FB5" w14:textId="77777777" w:rsidR="00426307" w:rsidRPr="002F39C8" w:rsidRDefault="00426307" w:rsidP="00426307">
      <w:pPr>
        <w:pStyle w:val="Puslapioinaostekstas"/>
        <w:rPr>
          <w:rFonts w:asciiTheme="minorHAnsi" w:hAnsiTheme="minorHAnsi" w:cstheme="minorHAnsi"/>
        </w:rPr>
      </w:pPr>
      <w:r w:rsidRPr="002F39C8">
        <w:rPr>
          <w:rStyle w:val="Puslapioinaosnuoroda"/>
          <w:rFonts w:asciiTheme="minorHAnsi" w:hAnsiTheme="minorHAnsi" w:cstheme="minorHAnsi"/>
        </w:rPr>
        <w:footnoteRef/>
      </w:r>
      <w:r w:rsidRPr="002F39C8">
        <w:rPr>
          <w:rFonts w:asciiTheme="minorHAnsi" w:hAnsiTheme="minorHAnsi" w:cstheme="minorHAnsi"/>
        </w:rPr>
        <w:t xml:space="preserve"> Parengta vadovaujantis informacija, pateikta Teisingumo Teismo sprendimo santraukoje https://curia.europa.eu/juris/document/document.jsf?text=&amp;docid=244361&amp;pageIndex=0&amp;doclang=LT&amp;mode=lst&amp;dir=&amp;occ=first&amp;part=1&amp;cid=350141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6937"/>
      <w:gridCol w:w="2309"/>
    </w:tblGrid>
    <w:tr w:rsidR="0099601C" w:rsidRPr="000967FF" w14:paraId="5CF85821" w14:textId="77777777" w:rsidTr="00736158">
      <w:tc>
        <w:tcPr>
          <w:tcW w:w="7230" w:type="dxa"/>
        </w:tcPr>
        <w:p w14:paraId="5AF2E84B" w14:textId="77777777" w:rsidR="0099601C" w:rsidRPr="0021377E" w:rsidRDefault="0099601C"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14:paraId="33C66408" w14:textId="5F5E3C01" w:rsidR="0099601C" w:rsidRPr="0021377E" w:rsidRDefault="0099601C" w:rsidP="005A7A21">
          <w:pPr>
            <w:rPr>
              <w:color w:val="323E4F" w:themeColor="text2" w:themeShade="BF"/>
              <w:sz w:val="20"/>
              <w:szCs w:val="20"/>
            </w:rPr>
          </w:pPr>
          <w:r>
            <w:rPr>
              <w:color w:val="323E4F" w:themeColor="text2" w:themeShade="BF"/>
              <w:sz w:val="20"/>
              <w:szCs w:val="20"/>
            </w:rPr>
            <w:t>202</w:t>
          </w:r>
          <w:r>
            <w:rPr>
              <w:color w:val="323E4F" w:themeColor="text2" w:themeShade="BF"/>
              <w:sz w:val="20"/>
              <w:szCs w:val="20"/>
              <w:lang w:val="en-US"/>
            </w:rPr>
            <w:t>1</w:t>
          </w:r>
          <w:r>
            <w:rPr>
              <w:color w:val="323E4F" w:themeColor="text2" w:themeShade="BF"/>
              <w:sz w:val="20"/>
              <w:szCs w:val="20"/>
            </w:rPr>
            <w:t xml:space="preserve"> 0</w:t>
          </w:r>
          <w:r w:rsidR="00C8171C">
            <w:rPr>
              <w:color w:val="323E4F" w:themeColor="text2" w:themeShade="BF"/>
              <w:sz w:val="20"/>
              <w:szCs w:val="20"/>
            </w:rPr>
            <w:t>7</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w:t>
          </w:r>
          <w:r>
            <w:rPr>
              <w:color w:val="323E4F" w:themeColor="text2" w:themeShade="BF"/>
              <w:sz w:val="20"/>
              <w:szCs w:val="20"/>
            </w:rPr>
            <w:t xml:space="preserve">21 </w:t>
          </w:r>
          <w:r w:rsidR="00C8171C">
            <w:rPr>
              <w:color w:val="323E4F" w:themeColor="text2" w:themeShade="BF"/>
              <w:sz w:val="20"/>
              <w:szCs w:val="20"/>
            </w:rPr>
            <w:t>12</w:t>
          </w:r>
          <w:r w:rsidRPr="0021377E">
            <w:rPr>
              <w:color w:val="323E4F" w:themeColor="text2" w:themeShade="BF"/>
              <w:sz w:val="20"/>
              <w:szCs w:val="20"/>
            </w:rPr>
            <w:t xml:space="preserve"> </w:t>
          </w:r>
          <w:r>
            <w:rPr>
              <w:color w:val="323E4F" w:themeColor="text2" w:themeShade="BF"/>
              <w:sz w:val="20"/>
              <w:szCs w:val="20"/>
            </w:rPr>
            <w:t>3</w:t>
          </w:r>
          <w:r w:rsidR="00C8171C">
            <w:rPr>
              <w:color w:val="323E4F" w:themeColor="text2" w:themeShade="BF"/>
              <w:sz w:val="20"/>
              <w:szCs w:val="20"/>
            </w:rPr>
            <w:t>1</w:t>
          </w:r>
        </w:p>
      </w:tc>
    </w:tr>
  </w:tbl>
  <w:p w14:paraId="3E59BFEE" w14:textId="77777777" w:rsidR="0099601C" w:rsidRDefault="0099601C" w:rsidP="00736158">
    <w:pPr>
      <w:pStyle w:val="Antrats"/>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6A6782"/>
    <w:multiLevelType w:val="singleLevel"/>
    <w:tmpl w:val="856A6782"/>
    <w:lvl w:ilvl="0">
      <w:start w:val="2"/>
      <w:numFmt w:val="decimal"/>
      <w:suff w:val="space"/>
      <w:lvlText w:val="%1."/>
      <w:lvlJc w:val="left"/>
    </w:lvl>
  </w:abstractNum>
  <w:abstractNum w:abstractNumId="1" w15:restartNumberingAfterBreak="0">
    <w:nsid w:val="F9C47357"/>
    <w:multiLevelType w:val="singleLevel"/>
    <w:tmpl w:val="F9C47357"/>
    <w:lvl w:ilvl="0">
      <w:start w:val="1"/>
      <w:numFmt w:val="decimal"/>
      <w:suff w:val="space"/>
      <w:lvlText w:val="%1."/>
      <w:lvlJc w:val="left"/>
    </w:lvl>
  </w:abstractNum>
  <w:abstractNum w:abstractNumId="2"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3" w15:restartNumberingAfterBreak="0">
    <w:nsid w:val="11A222CD"/>
    <w:multiLevelType w:val="hybridMultilevel"/>
    <w:tmpl w:val="BF20D8B4"/>
    <w:lvl w:ilvl="0" w:tplc="08006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4A7F46"/>
    <w:multiLevelType w:val="hybridMultilevel"/>
    <w:tmpl w:val="D114862C"/>
    <w:lvl w:ilvl="0" w:tplc="9DD0A9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24F597B"/>
    <w:multiLevelType w:val="hybridMultilevel"/>
    <w:tmpl w:val="B0CE4EB6"/>
    <w:lvl w:ilvl="0" w:tplc="7CECCF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510208F"/>
    <w:multiLevelType w:val="hybridMultilevel"/>
    <w:tmpl w:val="F14699EE"/>
    <w:lvl w:ilvl="0" w:tplc="7F6A8C9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8" w15:restartNumberingAfterBreak="0">
    <w:nsid w:val="35165582"/>
    <w:multiLevelType w:val="hybridMultilevel"/>
    <w:tmpl w:val="766EC494"/>
    <w:lvl w:ilvl="0" w:tplc="04090011">
      <w:start w:val="1"/>
      <w:numFmt w:val="decimal"/>
      <w:lvlText w:val="%1)"/>
      <w:lvlJc w:val="left"/>
      <w:pPr>
        <w:ind w:left="927"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4882EAE"/>
    <w:multiLevelType w:val="hybridMultilevel"/>
    <w:tmpl w:val="A5589E6E"/>
    <w:lvl w:ilvl="0" w:tplc="D7823E40">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0" w15:restartNumberingAfterBreak="0">
    <w:nsid w:val="57AC889E"/>
    <w:multiLevelType w:val="singleLevel"/>
    <w:tmpl w:val="57AC889E"/>
    <w:lvl w:ilvl="0">
      <w:start w:val="1"/>
      <w:numFmt w:val="decimal"/>
      <w:suff w:val="space"/>
      <w:lvlText w:val="%1."/>
      <w:lvlJc w:val="left"/>
    </w:lvl>
  </w:abstractNum>
  <w:abstractNum w:abstractNumId="11" w15:restartNumberingAfterBreak="0">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2" w15:restartNumberingAfterBreak="0">
    <w:nsid w:val="6443344E"/>
    <w:multiLevelType w:val="hybridMultilevel"/>
    <w:tmpl w:val="D6609B80"/>
    <w:lvl w:ilvl="0" w:tplc="17161A92">
      <w:start w:val="2019"/>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3"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39567B"/>
    <w:multiLevelType w:val="hybridMultilevel"/>
    <w:tmpl w:val="2AA43A28"/>
    <w:lvl w:ilvl="0" w:tplc="F5F4415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74BB0DF2"/>
    <w:multiLevelType w:val="hybridMultilevel"/>
    <w:tmpl w:val="029C90B4"/>
    <w:lvl w:ilvl="0" w:tplc="E048CE2C">
      <w:start w:val="202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1899515814">
    <w:abstractNumId w:val="2"/>
  </w:num>
  <w:num w:numId="2" w16cid:durableId="1610621012">
    <w:abstractNumId w:val="11"/>
  </w:num>
  <w:num w:numId="3" w16cid:durableId="1592663322">
    <w:abstractNumId w:val="7"/>
  </w:num>
  <w:num w:numId="4" w16cid:durableId="237597756">
    <w:abstractNumId w:val="12"/>
  </w:num>
  <w:num w:numId="5" w16cid:durableId="1377194678">
    <w:abstractNumId w:val="4"/>
  </w:num>
  <w:num w:numId="6" w16cid:durableId="1703163785">
    <w:abstractNumId w:val="9"/>
  </w:num>
  <w:num w:numId="7" w16cid:durableId="935330987">
    <w:abstractNumId w:val="10"/>
  </w:num>
  <w:num w:numId="8" w16cid:durableId="1120150889">
    <w:abstractNumId w:val="1"/>
  </w:num>
  <w:num w:numId="9" w16cid:durableId="1988316020">
    <w:abstractNumId w:val="10"/>
    <w:lvlOverride w:ilvl="0">
      <w:startOverride w:val="1"/>
    </w:lvlOverride>
  </w:num>
  <w:num w:numId="10" w16cid:durableId="1422947795">
    <w:abstractNumId w:val="0"/>
  </w:num>
  <w:num w:numId="11" w16cid:durableId="531455884">
    <w:abstractNumId w:val="6"/>
  </w:num>
  <w:num w:numId="12" w16cid:durableId="314142248">
    <w:abstractNumId w:val="15"/>
  </w:num>
  <w:num w:numId="13" w16cid:durableId="26032830">
    <w:abstractNumId w:val="14"/>
  </w:num>
  <w:num w:numId="14" w16cid:durableId="1228373119">
    <w:abstractNumId w:val="13"/>
  </w:num>
  <w:num w:numId="15" w16cid:durableId="271128899">
    <w:abstractNumId w:val="5"/>
  </w:num>
  <w:num w:numId="16" w16cid:durableId="260333832">
    <w:abstractNumId w:val="3"/>
  </w:num>
  <w:num w:numId="17" w16cid:durableId="11656259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8CD"/>
    <w:rsid w:val="0000058C"/>
    <w:rsid w:val="0000101D"/>
    <w:rsid w:val="000016C4"/>
    <w:rsid w:val="000028CD"/>
    <w:rsid w:val="00003825"/>
    <w:rsid w:val="000054F6"/>
    <w:rsid w:val="00005AC8"/>
    <w:rsid w:val="00007E39"/>
    <w:rsid w:val="00007F8E"/>
    <w:rsid w:val="00010C45"/>
    <w:rsid w:val="000167B3"/>
    <w:rsid w:val="00020E12"/>
    <w:rsid w:val="000226C0"/>
    <w:rsid w:val="00022C49"/>
    <w:rsid w:val="00024262"/>
    <w:rsid w:val="00024C28"/>
    <w:rsid w:val="00027F31"/>
    <w:rsid w:val="00031A6D"/>
    <w:rsid w:val="000327E0"/>
    <w:rsid w:val="000335F7"/>
    <w:rsid w:val="0003515F"/>
    <w:rsid w:val="00035C5C"/>
    <w:rsid w:val="000367E0"/>
    <w:rsid w:val="000369F2"/>
    <w:rsid w:val="00041250"/>
    <w:rsid w:val="0004127A"/>
    <w:rsid w:val="0004150B"/>
    <w:rsid w:val="000427E6"/>
    <w:rsid w:val="00044B06"/>
    <w:rsid w:val="000501D2"/>
    <w:rsid w:val="000531A2"/>
    <w:rsid w:val="000541E2"/>
    <w:rsid w:val="00054360"/>
    <w:rsid w:val="00056454"/>
    <w:rsid w:val="000600A9"/>
    <w:rsid w:val="0006076F"/>
    <w:rsid w:val="000612A2"/>
    <w:rsid w:val="000647E8"/>
    <w:rsid w:val="0006577C"/>
    <w:rsid w:val="00066063"/>
    <w:rsid w:val="0006750C"/>
    <w:rsid w:val="00067F84"/>
    <w:rsid w:val="00070AC7"/>
    <w:rsid w:val="00071EC5"/>
    <w:rsid w:val="000739DF"/>
    <w:rsid w:val="00074760"/>
    <w:rsid w:val="00076ADF"/>
    <w:rsid w:val="00081885"/>
    <w:rsid w:val="000825EB"/>
    <w:rsid w:val="000829F7"/>
    <w:rsid w:val="00082C77"/>
    <w:rsid w:val="00085476"/>
    <w:rsid w:val="000873EA"/>
    <w:rsid w:val="00090F42"/>
    <w:rsid w:val="00092EDC"/>
    <w:rsid w:val="00093648"/>
    <w:rsid w:val="00093AD3"/>
    <w:rsid w:val="000961C3"/>
    <w:rsid w:val="0009635E"/>
    <w:rsid w:val="00096A17"/>
    <w:rsid w:val="000A2ABB"/>
    <w:rsid w:val="000A56C8"/>
    <w:rsid w:val="000A58AC"/>
    <w:rsid w:val="000A58B1"/>
    <w:rsid w:val="000A7296"/>
    <w:rsid w:val="000B2004"/>
    <w:rsid w:val="000B4A92"/>
    <w:rsid w:val="000B546F"/>
    <w:rsid w:val="000B7303"/>
    <w:rsid w:val="000B7CEB"/>
    <w:rsid w:val="000C2557"/>
    <w:rsid w:val="000C30EF"/>
    <w:rsid w:val="000C3A69"/>
    <w:rsid w:val="000C6092"/>
    <w:rsid w:val="000E30CB"/>
    <w:rsid w:val="000E4964"/>
    <w:rsid w:val="000E5624"/>
    <w:rsid w:val="000E5A93"/>
    <w:rsid w:val="000E6E39"/>
    <w:rsid w:val="000F3EE6"/>
    <w:rsid w:val="000F432D"/>
    <w:rsid w:val="000F5C3C"/>
    <w:rsid w:val="000F64EE"/>
    <w:rsid w:val="001002D5"/>
    <w:rsid w:val="00100400"/>
    <w:rsid w:val="001035AD"/>
    <w:rsid w:val="00104D60"/>
    <w:rsid w:val="001069BA"/>
    <w:rsid w:val="00112173"/>
    <w:rsid w:val="00113E89"/>
    <w:rsid w:val="00114D14"/>
    <w:rsid w:val="00115851"/>
    <w:rsid w:val="00116665"/>
    <w:rsid w:val="00117031"/>
    <w:rsid w:val="00120CB7"/>
    <w:rsid w:val="0012395D"/>
    <w:rsid w:val="001240AD"/>
    <w:rsid w:val="00125C26"/>
    <w:rsid w:val="001268DF"/>
    <w:rsid w:val="00126D28"/>
    <w:rsid w:val="00127138"/>
    <w:rsid w:val="00127C91"/>
    <w:rsid w:val="00131909"/>
    <w:rsid w:val="00133FF5"/>
    <w:rsid w:val="0013714D"/>
    <w:rsid w:val="001373E0"/>
    <w:rsid w:val="00143912"/>
    <w:rsid w:val="001460CF"/>
    <w:rsid w:val="00150238"/>
    <w:rsid w:val="00150D04"/>
    <w:rsid w:val="00154763"/>
    <w:rsid w:val="00160FC7"/>
    <w:rsid w:val="0016248B"/>
    <w:rsid w:val="00162CAE"/>
    <w:rsid w:val="00163B3F"/>
    <w:rsid w:val="00165639"/>
    <w:rsid w:val="00167D11"/>
    <w:rsid w:val="0017163B"/>
    <w:rsid w:val="00173517"/>
    <w:rsid w:val="001738B4"/>
    <w:rsid w:val="00173FF2"/>
    <w:rsid w:val="0017626F"/>
    <w:rsid w:val="00176687"/>
    <w:rsid w:val="00177F84"/>
    <w:rsid w:val="00180D5D"/>
    <w:rsid w:val="001811C1"/>
    <w:rsid w:val="00182063"/>
    <w:rsid w:val="00182587"/>
    <w:rsid w:val="00184B14"/>
    <w:rsid w:val="00185094"/>
    <w:rsid w:val="00186F58"/>
    <w:rsid w:val="00187885"/>
    <w:rsid w:val="0019076C"/>
    <w:rsid w:val="00191FB0"/>
    <w:rsid w:val="00193B93"/>
    <w:rsid w:val="00194773"/>
    <w:rsid w:val="00194FF1"/>
    <w:rsid w:val="001A0AD1"/>
    <w:rsid w:val="001A347D"/>
    <w:rsid w:val="001B0E26"/>
    <w:rsid w:val="001B17EF"/>
    <w:rsid w:val="001B44DB"/>
    <w:rsid w:val="001B5613"/>
    <w:rsid w:val="001B57A7"/>
    <w:rsid w:val="001B7122"/>
    <w:rsid w:val="001B795F"/>
    <w:rsid w:val="001C079F"/>
    <w:rsid w:val="001C1373"/>
    <w:rsid w:val="001C4363"/>
    <w:rsid w:val="001C6354"/>
    <w:rsid w:val="001C6C9B"/>
    <w:rsid w:val="001C766B"/>
    <w:rsid w:val="001D10F8"/>
    <w:rsid w:val="001D1376"/>
    <w:rsid w:val="001D17E9"/>
    <w:rsid w:val="001D1BAB"/>
    <w:rsid w:val="001D3B64"/>
    <w:rsid w:val="001D56AE"/>
    <w:rsid w:val="001D6185"/>
    <w:rsid w:val="001D6285"/>
    <w:rsid w:val="001D6ADA"/>
    <w:rsid w:val="001E17E4"/>
    <w:rsid w:val="001E1925"/>
    <w:rsid w:val="001E1D57"/>
    <w:rsid w:val="001E50C2"/>
    <w:rsid w:val="001E799B"/>
    <w:rsid w:val="001F0AC4"/>
    <w:rsid w:val="001F3368"/>
    <w:rsid w:val="001F5624"/>
    <w:rsid w:val="002000A6"/>
    <w:rsid w:val="0020111A"/>
    <w:rsid w:val="00203B43"/>
    <w:rsid w:val="002103AD"/>
    <w:rsid w:val="00212842"/>
    <w:rsid w:val="002132F5"/>
    <w:rsid w:val="0021623E"/>
    <w:rsid w:val="00224DAA"/>
    <w:rsid w:val="00225D16"/>
    <w:rsid w:val="002303AE"/>
    <w:rsid w:val="00230D52"/>
    <w:rsid w:val="002353E3"/>
    <w:rsid w:val="00235945"/>
    <w:rsid w:val="00241686"/>
    <w:rsid w:val="0024618F"/>
    <w:rsid w:val="0024728C"/>
    <w:rsid w:val="00247D33"/>
    <w:rsid w:val="0025076A"/>
    <w:rsid w:val="002517AE"/>
    <w:rsid w:val="00252DD3"/>
    <w:rsid w:val="00253301"/>
    <w:rsid w:val="00253D28"/>
    <w:rsid w:val="00256E6C"/>
    <w:rsid w:val="00262FA3"/>
    <w:rsid w:val="002640A4"/>
    <w:rsid w:val="00270C43"/>
    <w:rsid w:val="002713C5"/>
    <w:rsid w:val="00275335"/>
    <w:rsid w:val="00275762"/>
    <w:rsid w:val="00275770"/>
    <w:rsid w:val="00276339"/>
    <w:rsid w:val="0028069C"/>
    <w:rsid w:val="00287E40"/>
    <w:rsid w:val="002923A0"/>
    <w:rsid w:val="00292973"/>
    <w:rsid w:val="002933A9"/>
    <w:rsid w:val="0029340F"/>
    <w:rsid w:val="00293A1A"/>
    <w:rsid w:val="00294443"/>
    <w:rsid w:val="0029445C"/>
    <w:rsid w:val="00296828"/>
    <w:rsid w:val="002A1113"/>
    <w:rsid w:val="002A14B6"/>
    <w:rsid w:val="002A1ED7"/>
    <w:rsid w:val="002A2519"/>
    <w:rsid w:val="002A64B3"/>
    <w:rsid w:val="002A6D4C"/>
    <w:rsid w:val="002A798C"/>
    <w:rsid w:val="002B1F6B"/>
    <w:rsid w:val="002B4105"/>
    <w:rsid w:val="002B5283"/>
    <w:rsid w:val="002B52A0"/>
    <w:rsid w:val="002B71F7"/>
    <w:rsid w:val="002C41B9"/>
    <w:rsid w:val="002C5ABC"/>
    <w:rsid w:val="002C6C8D"/>
    <w:rsid w:val="002C7B91"/>
    <w:rsid w:val="002D14AC"/>
    <w:rsid w:val="002D1B34"/>
    <w:rsid w:val="002D1F7A"/>
    <w:rsid w:val="002D4578"/>
    <w:rsid w:val="002D4BDB"/>
    <w:rsid w:val="002D76E6"/>
    <w:rsid w:val="002E0510"/>
    <w:rsid w:val="002E0A74"/>
    <w:rsid w:val="002E5221"/>
    <w:rsid w:val="002E52BD"/>
    <w:rsid w:val="002F09DA"/>
    <w:rsid w:val="002F2EB7"/>
    <w:rsid w:val="002F456B"/>
    <w:rsid w:val="003024E8"/>
    <w:rsid w:val="00303083"/>
    <w:rsid w:val="0030354A"/>
    <w:rsid w:val="00304D50"/>
    <w:rsid w:val="00304ECD"/>
    <w:rsid w:val="00304F35"/>
    <w:rsid w:val="00307B73"/>
    <w:rsid w:val="00307BD0"/>
    <w:rsid w:val="00310DD7"/>
    <w:rsid w:val="00311AA2"/>
    <w:rsid w:val="00312341"/>
    <w:rsid w:val="003135AD"/>
    <w:rsid w:val="003137EE"/>
    <w:rsid w:val="00313DD3"/>
    <w:rsid w:val="00315553"/>
    <w:rsid w:val="00315E2D"/>
    <w:rsid w:val="0032027A"/>
    <w:rsid w:val="00320B72"/>
    <w:rsid w:val="00324E19"/>
    <w:rsid w:val="003265B1"/>
    <w:rsid w:val="0033208A"/>
    <w:rsid w:val="00332700"/>
    <w:rsid w:val="003347AD"/>
    <w:rsid w:val="00337C5A"/>
    <w:rsid w:val="00340E3D"/>
    <w:rsid w:val="0034304A"/>
    <w:rsid w:val="003444ED"/>
    <w:rsid w:val="00344A7E"/>
    <w:rsid w:val="00345EAF"/>
    <w:rsid w:val="00347704"/>
    <w:rsid w:val="0035025B"/>
    <w:rsid w:val="003510B8"/>
    <w:rsid w:val="00353B65"/>
    <w:rsid w:val="003550E7"/>
    <w:rsid w:val="00355E7D"/>
    <w:rsid w:val="00355EE4"/>
    <w:rsid w:val="00360751"/>
    <w:rsid w:val="0036339B"/>
    <w:rsid w:val="0036396E"/>
    <w:rsid w:val="00366E04"/>
    <w:rsid w:val="00367FCF"/>
    <w:rsid w:val="003713B7"/>
    <w:rsid w:val="00373473"/>
    <w:rsid w:val="00374A94"/>
    <w:rsid w:val="0038016D"/>
    <w:rsid w:val="003808C4"/>
    <w:rsid w:val="00381008"/>
    <w:rsid w:val="0038629E"/>
    <w:rsid w:val="003919E4"/>
    <w:rsid w:val="003920C7"/>
    <w:rsid w:val="0039283F"/>
    <w:rsid w:val="003951E9"/>
    <w:rsid w:val="003952D8"/>
    <w:rsid w:val="00397750"/>
    <w:rsid w:val="003A02CF"/>
    <w:rsid w:val="003A0DB4"/>
    <w:rsid w:val="003A10AF"/>
    <w:rsid w:val="003A6726"/>
    <w:rsid w:val="003A6ECF"/>
    <w:rsid w:val="003A7994"/>
    <w:rsid w:val="003A7E3C"/>
    <w:rsid w:val="003B046B"/>
    <w:rsid w:val="003B0EE7"/>
    <w:rsid w:val="003B151B"/>
    <w:rsid w:val="003B2280"/>
    <w:rsid w:val="003B3224"/>
    <w:rsid w:val="003B4AA0"/>
    <w:rsid w:val="003B73EA"/>
    <w:rsid w:val="003B7A20"/>
    <w:rsid w:val="003C01A4"/>
    <w:rsid w:val="003C09A0"/>
    <w:rsid w:val="003C2E76"/>
    <w:rsid w:val="003C7A45"/>
    <w:rsid w:val="003D0E1F"/>
    <w:rsid w:val="003D1273"/>
    <w:rsid w:val="003D15C1"/>
    <w:rsid w:val="003D50AE"/>
    <w:rsid w:val="003D6A3B"/>
    <w:rsid w:val="003D6BA5"/>
    <w:rsid w:val="003D6FD6"/>
    <w:rsid w:val="003D7010"/>
    <w:rsid w:val="003E12DF"/>
    <w:rsid w:val="003E2DCB"/>
    <w:rsid w:val="003E3F0F"/>
    <w:rsid w:val="003E4A33"/>
    <w:rsid w:val="003E5B49"/>
    <w:rsid w:val="003E5F38"/>
    <w:rsid w:val="003E626B"/>
    <w:rsid w:val="003F00E4"/>
    <w:rsid w:val="003F03CD"/>
    <w:rsid w:val="003F04DC"/>
    <w:rsid w:val="003F056F"/>
    <w:rsid w:val="003F07C1"/>
    <w:rsid w:val="003F2BE9"/>
    <w:rsid w:val="003F2F27"/>
    <w:rsid w:val="003F2F73"/>
    <w:rsid w:val="003F731D"/>
    <w:rsid w:val="0040040C"/>
    <w:rsid w:val="00400458"/>
    <w:rsid w:val="00400E7C"/>
    <w:rsid w:val="00401F0B"/>
    <w:rsid w:val="00402183"/>
    <w:rsid w:val="00402B3B"/>
    <w:rsid w:val="004038EA"/>
    <w:rsid w:val="00405080"/>
    <w:rsid w:val="00406976"/>
    <w:rsid w:val="00410602"/>
    <w:rsid w:val="004108B2"/>
    <w:rsid w:val="00410FED"/>
    <w:rsid w:val="004146C6"/>
    <w:rsid w:val="00415A0B"/>
    <w:rsid w:val="00416E50"/>
    <w:rsid w:val="00423C21"/>
    <w:rsid w:val="00424AC1"/>
    <w:rsid w:val="00425970"/>
    <w:rsid w:val="00426307"/>
    <w:rsid w:val="00426A8E"/>
    <w:rsid w:val="00426FA2"/>
    <w:rsid w:val="00427DDC"/>
    <w:rsid w:val="00427FB9"/>
    <w:rsid w:val="00430911"/>
    <w:rsid w:val="004374C6"/>
    <w:rsid w:val="00437852"/>
    <w:rsid w:val="00440561"/>
    <w:rsid w:val="00441527"/>
    <w:rsid w:val="004421E1"/>
    <w:rsid w:val="004424BD"/>
    <w:rsid w:val="00442F3B"/>
    <w:rsid w:val="004442DA"/>
    <w:rsid w:val="00445355"/>
    <w:rsid w:val="0044732A"/>
    <w:rsid w:val="00452026"/>
    <w:rsid w:val="004554DB"/>
    <w:rsid w:val="00460E0E"/>
    <w:rsid w:val="0046296C"/>
    <w:rsid w:val="00462F96"/>
    <w:rsid w:val="00463538"/>
    <w:rsid w:val="0046437B"/>
    <w:rsid w:val="0047132C"/>
    <w:rsid w:val="0047161F"/>
    <w:rsid w:val="00473E4A"/>
    <w:rsid w:val="004741D7"/>
    <w:rsid w:val="00475D15"/>
    <w:rsid w:val="00475FA7"/>
    <w:rsid w:val="0047745B"/>
    <w:rsid w:val="00480AD5"/>
    <w:rsid w:val="00480F1E"/>
    <w:rsid w:val="004820B7"/>
    <w:rsid w:val="0048280B"/>
    <w:rsid w:val="00484BC7"/>
    <w:rsid w:val="00485030"/>
    <w:rsid w:val="00492037"/>
    <w:rsid w:val="00493C73"/>
    <w:rsid w:val="004A18FC"/>
    <w:rsid w:val="004A1EF5"/>
    <w:rsid w:val="004A3D36"/>
    <w:rsid w:val="004A424E"/>
    <w:rsid w:val="004A6684"/>
    <w:rsid w:val="004A7D3F"/>
    <w:rsid w:val="004B3301"/>
    <w:rsid w:val="004B5C04"/>
    <w:rsid w:val="004B603C"/>
    <w:rsid w:val="004C02B9"/>
    <w:rsid w:val="004C1989"/>
    <w:rsid w:val="004C1F66"/>
    <w:rsid w:val="004C3D0E"/>
    <w:rsid w:val="004C6BE5"/>
    <w:rsid w:val="004D029A"/>
    <w:rsid w:val="004D384D"/>
    <w:rsid w:val="004D471B"/>
    <w:rsid w:val="004D4CA8"/>
    <w:rsid w:val="004E150E"/>
    <w:rsid w:val="004E67F5"/>
    <w:rsid w:val="004F103F"/>
    <w:rsid w:val="004F118E"/>
    <w:rsid w:val="004F1C89"/>
    <w:rsid w:val="004F3B57"/>
    <w:rsid w:val="004F56F4"/>
    <w:rsid w:val="00501868"/>
    <w:rsid w:val="00503293"/>
    <w:rsid w:val="0050444F"/>
    <w:rsid w:val="005071A7"/>
    <w:rsid w:val="00507A1E"/>
    <w:rsid w:val="0051438A"/>
    <w:rsid w:val="00515BCC"/>
    <w:rsid w:val="00520A5A"/>
    <w:rsid w:val="0052243C"/>
    <w:rsid w:val="00523518"/>
    <w:rsid w:val="00524556"/>
    <w:rsid w:val="00525E8C"/>
    <w:rsid w:val="00526A70"/>
    <w:rsid w:val="00527D0D"/>
    <w:rsid w:val="005304D9"/>
    <w:rsid w:val="005330C1"/>
    <w:rsid w:val="00533408"/>
    <w:rsid w:val="005351F7"/>
    <w:rsid w:val="00536190"/>
    <w:rsid w:val="005374BB"/>
    <w:rsid w:val="00542353"/>
    <w:rsid w:val="0054285A"/>
    <w:rsid w:val="00542B4A"/>
    <w:rsid w:val="00544500"/>
    <w:rsid w:val="00545A4B"/>
    <w:rsid w:val="005460CD"/>
    <w:rsid w:val="00552BB7"/>
    <w:rsid w:val="0055387A"/>
    <w:rsid w:val="005547AB"/>
    <w:rsid w:val="005548B7"/>
    <w:rsid w:val="00554E88"/>
    <w:rsid w:val="00556F14"/>
    <w:rsid w:val="0056116D"/>
    <w:rsid w:val="00562312"/>
    <w:rsid w:val="005646F3"/>
    <w:rsid w:val="00564A3B"/>
    <w:rsid w:val="005726E6"/>
    <w:rsid w:val="005729FB"/>
    <w:rsid w:val="0057454E"/>
    <w:rsid w:val="00575462"/>
    <w:rsid w:val="00582029"/>
    <w:rsid w:val="005826D2"/>
    <w:rsid w:val="005854A3"/>
    <w:rsid w:val="00591B13"/>
    <w:rsid w:val="00591C56"/>
    <w:rsid w:val="00593AE3"/>
    <w:rsid w:val="00594D0D"/>
    <w:rsid w:val="005A16AD"/>
    <w:rsid w:val="005A1D64"/>
    <w:rsid w:val="005A3BAA"/>
    <w:rsid w:val="005A5A5D"/>
    <w:rsid w:val="005A7A21"/>
    <w:rsid w:val="005A7D7E"/>
    <w:rsid w:val="005B0607"/>
    <w:rsid w:val="005B0C2C"/>
    <w:rsid w:val="005B0DBF"/>
    <w:rsid w:val="005B263C"/>
    <w:rsid w:val="005B2B8F"/>
    <w:rsid w:val="005B50B5"/>
    <w:rsid w:val="005B7A97"/>
    <w:rsid w:val="005C1696"/>
    <w:rsid w:val="005C4F15"/>
    <w:rsid w:val="005C5C6A"/>
    <w:rsid w:val="005C5D86"/>
    <w:rsid w:val="005C5E3F"/>
    <w:rsid w:val="005C7DAF"/>
    <w:rsid w:val="005D01DA"/>
    <w:rsid w:val="005D1C23"/>
    <w:rsid w:val="005D1F3E"/>
    <w:rsid w:val="005D6968"/>
    <w:rsid w:val="005D71A9"/>
    <w:rsid w:val="005E38BF"/>
    <w:rsid w:val="005E3FA9"/>
    <w:rsid w:val="005E4196"/>
    <w:rsid w:val="005E5E25"/>
    <w:rsid w:val="005E7CA3"/>
    <w:rsid w:val="005F20C1"/>
    <w:rsid w:val="005F2F80"/>
    <w:rsid w:val="005F534F"/>
    <w:rsid w:val="005F61B1"/>
    <w:rsid w:val="005F7B3D"/>
    <w:rsid w:val="006027E6"/>
    <w:rsid w:val="00602A20"/>
    <w:rsid w:val="00603218"/>
    <w:rsid w:val="00603A73"/>
    <w:rsid w:val="00610307"/>
    <w:rsid w:val="00613863"/>
    <w:rsid w:val="006150A7"/>
    <w:rsid w:val="006160B9"/>
    <w:rsid w:val="0061613B"/>
    <w:rsid w:val="006162D7"/>
    <w:rsid w:val="00620683"/>
    <w:rsid w:val="00621F78"/>
    <w:rsid w:val="0063245A"/>
    <w:rsid w:val="00632BE8"/>
    <w:rsid w:val="00632D46"/>
    <w:rsid w:val="0063410D"/>
    <w:rsid w:val="006349F7"/>
    <w:rsid w:val="00637286"/>
    <w:rsid w:val="00640561"/>
    <w:rsid w:val="0064228E"/>
    <w:rsid w:val="00644FB2"/>
    <w:rsid w:val="0064540C"/>
    <w:rsid w:val="006460C0"/>
    <w:rsid w:val="0065013F"/>
    <w:rsid w:val="00657CFD"/>
    <w:rsid w:val="00663B6A"/>
    <w:rsid w:val="006641FA"/>
    <w:rsid w:val="006676D1"/>
    <w:rsid w:val="00672231"/>
    <w:rsid w:val="00674D4E"/>
    <w:rsid w:val="00675DE8"/>
    <w:rsid w:val="0067624E"/>
    <w:rsid w:val="00680DE9"/>
    <w:rsid w:val="0068181E"/>
    <w:rsid w:val="00681E8B"/>
    <w:rsid w:val="00683D12"/>
    <w:rsid w:val="00686348"/>
    <w:rsid w:val="00687C29"/>
    <w:rsid w:val="00690172"/>
    <w:rsid w:val="0069032F"/>
    <w:rsid w:val="00690E33"/>
    <w:rsid w:val="006936A4"/>
    <w:rsid w:val="00693B39"/>
    <w:rsid w:val="006955A2"/>
    <w:rsid w:val="006961AD"/>
    <w:rsid w:val="00697BB5"/>
    <w:rsid w:val="006A0A55"/>
    <w:rsid w:val="006A3D0C"/>
    <w:rsid w:val="006A46A3"/>
    <w:rsid w:val="006B0110"/>
    <w:rsid w:val="006B0782"/>
    <w:rsid w:val="006B1757"/>
    <w:rsid w:val="006B1A16"/>
    <w:rsid w:val="006B1D08"/>
    <w:rsid w:val="006B27EB"/>
    <w:rsid w:val="006B346C"/>
    <w:rsid w:val="006B34CA"/>
    <w:rsid w:val="006B4794"/>
    <w:rsid w:val="006B4A87"/>
    <w:rsid w:val="006B6EDE"/>
    <w:rsid w:val="006B7BFB"/>
    <w:rsid w:val="006C28D8"/>
    <w:rsid w:val="006C2C99"/>
    <w:rsid w:val="006C6208"/>
    <w:rsid w:val="006C771A"/>
    <w:rsid w:val="006D11BC"/>
    <w:rsid w:val="006D2CC1"/>
    <w:rsid w:val="006E0A33"/>
    <w:rsid w:val="006E487B"/>
    <w:rsid w:val="006E7607"/>
    <w:rsid w:val="006F2981"/>
    <w:rsid w:val="006F4200"/>
    <w:rsid w:val="006F4F2C"/>
    <w:rsid w:val="0070684E"/>
    <w:rsid w:val="00706A41"/>
    <w:rsid w:val="00707B37"/>
    <w:rsid w:val="007102E2"/>
    <w:rsid w:val="0071197C"/>
    <w:rsid w:val="0071254A"/>
    <w:rsid w:val="00712802"/>
    <w:rsid w:val="0071486F"/>
    <w:rsid w:val="00715AAC"/>
    <w:rsid w:val="00716972"/>
    <w:rsid w:val="007226D0"/>
    <w:rsid w:val="007227E8"/>
    <w:rsid w:val="00723391"/>
    <w:rsid w:val="00724D93"/>
    <w:rsid w:val="0073070A"/>
    <w:rsid w:val="007308DD"/>
    <w:rsid w:val="007330F8"/>
    <w:rsid w:val="00735B72"/>
    <w:rsid w:val="00735E9B"/>
    <w:rsid w:val="00736158"/>
    <w:rsid w:val="00740071"/>
    <w:rsid w:val="00744C7F"/>
    <w:rsid w:val="00745646"/>
    <w:rsid w:val="00746042"/>
    <w:rsid w:val="00746359"/>
    <w:rsid w:val="00750406"/>
    <w:rsid w:val="007515BA"/>
    <w:rsid w:val="00752A5F"/>
    <w:rsid w:val="00755BD0"/>
    <w:rsid w:val="00756427"/>
    <w:rsid w:val="007566FC"/>
    <w:rsid w:val="007578D3"/>
    <w:rsid w:val="0076500A"/>
    <w:rsid w:val="00766462"/>
    <w:rsid w:val="0077079F"/>
    <w:rsid w:val="00774FF7"/>
    <w:rsid w:val="007769FF"/>
    <w:rsid w:val="00780889"/>
    <w:rsid w:val="00781985"/>
    <w:rsid w:val="007836E1"/>
    <w:rsid w:val="007848E7"/>
    <w:rsid w:val="00784AA1"/>
    <w:rsid w:val="0078771B"/>
    <w:rsid w:val="007923ED"/>
    <w:rsid w:val="007965BF"/>
    <w:rsid w:val="0079700B"/>
    <w:rsid w:val="007A1EB8"/>
    <w:rsid w:val="007A1F53"/>
    <w:rsid w:val="007A5492"/>
    <w:rsid w:val="007B0818"/>
    <w:rsid w:val="007B26FE"/>
    <w:rsid w:val="007B4806"/>
    <w:rsid w:val="007B54D1"/>
    <w:rsid w:val="007B6380"/>
    <w:rsid w:val="007B6FCC"/>
    <w:rsid w:val="007C1244"/>
    <w:rsid w:val="007C21F4"/>
    <w:rsid w:val="007C2305"/>
    <w:rsid w:val="007C39E3"/>
    <w:rsid w:val="007D20F3"/>
    <w:rsid w:val="007D29A6"/>
    <w:rsid w:val="007D31B0"/>
    <w:rsid w:val="007D42D4"/>
    <w:rsid w:val="007D6DAA"/>
    <w:rsid w:val="007D6F1E"/>
    <w:rsid w:val="007D76D0"/>
    <w:rsid w:val="007E12EB"/>
    <w:rsid w:val="007E21F5"/>
    <w:rsid w:val="007E4011"/>
    <w:rsid w:val="007F0F6B"/>
    <w:rsid w:val="007F1468"/>
    <w:rsid w:val="0080073B"/>
    <w:rsid w:val="00801911"/>
    <w:rsid w:val="00801AC0"/>
    <w:rsid w:val="00804880"/>
    <w:rsid w:val="008058C5"/>
    <w:rsid w:val="00810403"/>
    <w:rsid w:val="0081236B"/>
    <w:rsid w:val="00813294"/>
    <w:rsid w:val="008153A7"/>
    <w:rsid w:val="00816162"/>
    <w:rsid w:val="00816DBC"/>
    <w:rsid w:val="0081757E"/>
    <w:rsid w:val="00820129"/>
    <w:rsid w:val="00821065"/>
    <w:rsid w:val="00821F04"/>
    <w:rsid w:val="00822356"/>
    <w:rsid w:val="00824030"/>
    <w:rsid w:val="00826592"/>
    <w:rsid w:val="0082773D"/>
    <w:rsid w:val="00830705"/>
    <w:rsid w:val="0083092F"/>
    <w:rsid w:val="008323E4"/>
    <w:rsid w:val="00833512"/>
    <w:rsid w:val="008347BC"/>
    <w:rsid w:val="008347E1"/>
    <w:rsid w:val="00834833"/>
    <w:rsid w:val="00835617"/>
    <w:rsid w:val="0084081F"/>
    <w:rsid w:val="0084200D"/>
    <w:rsid w:val="0084417E"/>
    <w:rsid w:val="0084462F"/>
    <w:rsid w:val="008447C7"/>
    <w:rsid w:val="008448DC"/>
    <w:rsid w:val="008476C1"/>
    <w:rsid w:val="00847DA6"/>
    <w:rsid w:val="00850056"/>
    <w:rsid w:val="00850701"/>
    <w:rsid w:val="00850B00"/>
    <w:rsid w:val="00852920"/>
    <w:rsid w:val="00854762"/>
    <w:rsid w:val="0085519E"/>
    <w:rsid w:val="00855C82"/>
    <w:rsid w:val="008626C0"/>
    <w:rsid w:val="00865C03"/>
    <w:rsid w:val="00866193"/>
    <w:rsid w:val="00871155"/>
    <w:rsid w:val="00873951"/>
    <w:rsid w:val="00875C5C"/>
    <w:rsid w:val="00880AFF"/>
    <w:rsid w:val="00882528"/>
    <w:rsid w:val="00882925"/>
    <w:rsid w:val="008841A4"/>
    <w:rsid w:val="0088573A"/>
    <w:rsid w:val="00887252"/>
    <w:rsid w:val="0089195A"/>
    <w:rsid w:val="0089231F"/>
    <w:rsid w:val="00895076"/>
    <w:rsid w:val="00895820"/>
    <w:rsid w:val="00896AD7"/>
    <w:rsid w:val="008A0A37"/>
    <w:rsid w:val="008A27A9"/>
    <w:rsid w:val="008A3A30"/>
    <w:rsid w:val="008A4815"/>
    <w:rsid w:val="008A5FB3"/>
    <w:rsid w:val="008B0B49"/>
    <w:rsid w:val="008B1BE6"/>
    <w:rsid w:val="008B462A"/>
    <w:rsid w:val="008B58BE"/>
    <w:rsid w:val="008B58DB"/>
    <w:rsid w:val="008B6F44"/>
    <w:rsid w:val="008C01BE"/>
    <w:rsid w:val="008C2145"/>
    <w:rsid w:val="008C5529"/>
    <w:rsid w:val="008C5713"/>
    <w:rsid w:val="008C676D"/>
    <w:rsid w:val="008C78BA"/>
    <w:rsid w:val="008D19F8"/>
    <w:rsid w:val="008D2E78"/>
    <w:rsid w:val="008D47FD"/>
    <w:rsid w:val="008D4F07"/>
    <w:rsid w:val="008D5E72"/>
    <w:rsid w:val="008D6E37"/>
    <w:rsid w:val="008E0941"/>
    <w:rsid w:val="008E0E36"/>
    <w:rsid w:val="008E4394"/>
    <w:rsid w:val="008E44BD"/>
    <w:rsid w:val="008E4AE3"/>
    <w:rsid w:val="008E5A33"/>
    <w:rsid w:val="008E5CE2"/>
    <w:rsid w:val="008E6DBD"/>
    <w:rsid w:val="008E7292"/>
    <w:rsid w:val="008F0B8C"/>
    <w:rsid w:val="008F59FC"/>
    <w:rsid w:val="008F736F"/>
    <w:rsid w:val="009062AD"/>
    <w:rsid w:val="0090692D"/>
    <w:rsid w:val="00906B10"/>
    <w:rsid w:val="00906F9E"/>
    <w:rsid w:val="00910745"/>
    <w:rsid w:val="00911D7E"/>
    <w:rsid w:val="009127F9"/>
    <w:rsid w:val="00912E9A"/>
    <w:rsid w:val="00913489"/>
    <w:rsid w:val="009137BE"/>
    <w:rsid w:val="00914E63"/>
    <w:rsid w:val="00916AB4"/>
    <w:rsid w:val="009174F5"/>
    <w:rsid w:val="00917B14"/>
    <w:rsid w:val="00920589"/>
    <w:rsid w:val="0092373B"/>
    <w:rsid w:val="0092562B"/>
    <w:rsid w:val="00925870"/>
    <w:rsid w:val="009259F2"/>
    <w:rsid w:val="00925C25"/>
    <w:rsid w:val="00926C98"/>
    <w:rsid w:val="0092797E"/>
    <w:rsid w:val="0093239A"/>
    <w:rsid w:val="00932B66"/>
    <w:rsid w:val="00934C92"/>
    <w:rsid w:val="00934D33"/>
    <w:rsid w:val="00935F41"/>
    <w:rsid w:val="00936660"/>
    <w:rsid w:val="009404BE"/>
    <w:rsid w:val="0094158D"/>
    <w:rsid w:val="0094198C"/>
    <w:rsid w:val="00942D01"/>
    <w:rsid w:val="00943472"/>
    <w:rsid w:val="00943AF0"/>
    <w:rsid w:val="00944392"/>
    <w:rsid w:val="00945DA3"/>
    <w:rsid w:val="00947CAF"/>
    <w:rsid w:val="00950FE2"/>
    <w:rsid w:val="009515D5"/>
    <w:rsid w:val="009523A7"/>
    <w:rsid w:val="00953F2A"/>
    <w:rsid w:val="0095428C"/>
    <w:rsid w:val="00954C29"/>
    <w:rsid w:val="00955180"/>
    <w:rsid w:val="0095625B"/>
    <w:rsid w:val="00957E32"/>
    <w:rsid w:val="00960F87"/>
    <w:rsid w:val="00963B91"/>
    <w:rsid w:val="009666C6"/>
    <w:rsid w:val="00970226"/>
    <w:rsid w:val="009713FC"/>
    <w:rsid w:val="009715B7"/>
    <w:rsid w:val="009715CC"/>
    <w:rsid w:val="0097223C"/>
    <w:rsid w:val="00972E19"/>
    <w:rsid w:val="009749B8"/>
    <w:rsid w:val="00974EF4"/>
    <w:rsid w:val="00975371"/>
    <w:rsid w:val="00975566"/>
    <w:rsid w:val="0097578D"/>
    <w:rsid w:val="0097585A"/>
    <w:rsid w:val="009768D7"/>
    <w:rsid w:val="00976D06"/>
    <w:rsid w:val="00981E9B"/>
    <w:rsid w:val="00982F80"/>
    <w:rsid w:val="009836EC"/>
    <w:rsid w:val="00983A33"/>
    <w:rsid w:val="00984AE0"/>
    <w:rsid w:val="00986131"/>
    <w:rsid w:val="00994C74"/>
    <w:rsid w:val="0099601C"/>
    <w:rsid w:val="00997181"/>
    <w:rsid w:val="009A1F4F"/>
    <w:rsid w:val="009A4386"/>
    <w:rsid w:val="009A4D00"/>
    <w:rsid w:val="009A5424"/>
    <w:rsid w:val="009A5BB0"/>
    <w:rsid w:val="009A5E79"/>
    <w:rsid w:val="009A6C89"/>
    <w:rsid w:val="009A730F"/>
    <w:rsid w:val="009A7C9C"/>
    <w:rsid w:val="009B4114"/>
    <w:rsid w:val="009B48F9"/>
    <w:rsid w:val="009C0DCD"/>
    <w:rsid w:val="009C1408"/>
    <w:rsid w:val="009C3BF3"/>
    <w:rsid w:val="009C4463"/>
    <w:rsid w:val="009C702E"/>
    <w:rsid w:val="009D7522"/>
    <w:rsid w:val="009D7FC3"/>
    <w:rsid w:val="009E0ADD"/>
    <w:rsid w:val="009E13E6"/>
    <w:rsid w:val="009E1656"/>
    <w:rsid w:val="009E570C"/>
    <w:rsid w:val="009E64BC"/>
    <w:rsid w:val="009E6B36"/>
    <w:rsid w:val="009F5A37"/>
    <w:rsid w:val="009F70FE"/>
    <w:rsid w:val="009F7A91"/>
    <w:rsid w:val="00A016CE"/>
    <w:rsid w:val="00A04C9E"/>
    <w:rsid w:val="00A113A5"/>
    <w:rsid w:val="00A11AE7"/>
    <w:rsid w:val="00A11B17"/>
    <w:rsid w:val="00A11F43"/>
    <w:rsid w:val="00A136E2"/>
    <w:rsid w:val="00A17CA2"/>
    <w:rsid w:val="00A20BC6"/>
    <w:rsid w:val="00A328D0"/>
    <w:rsid w:val="00A336BB"/>
    <w:rsid w:val="00A3505F"/>
    <w:rsid w:val="00A35489"/>
    <w:rsid w:val="00A40C38"/>
    <w:rsid w:val="00A446DF"/>
    <w:rsid w:val="00A507E9"/>
    <w:rsid w:val="00A565AA"/>
    <w:rsid w:val="00A6253B"/>
    <w:rsid w:val="00A66CF7"/>
    <w:rsid w:val="00A67979"/>
    <w:rsid w:val="00A71FC4"/>
    <w:rsid w:val="00A737A9"/>
    <w:rsid w:val="00A755D7"/>
    <w:rsid w:val="00A75A89"/>
    <w:rsid w:val="00A76C3F"/>
    <w:rsid w:val="00A76D62"/>
    <w:rsid w:val="00A81BB0"/>
    <w:rsid w:val="00A82922"/>
    <w:rsid w:val="00A84A71"/>
    <w:rsid w:val="00A8579D"/>
    <w:rsid w:val="00A85C9A"/>
    <w:rsid w:val="00A85D0F"/>
    <w:rsid w:val="00A8627A"/>
    <w:rsid w:val="00A8763F"/>
    <w:rsid w:val="00A91C33"/>
    <w:rsid w:val="00A92209"/>
    <w:rsid w:val="00A93883"/>
    <w:rsid w:val="00A965DB"/>
    <w:rsid w:val="00A96C90"/>
    <w:rsid w:val="00A9758E"/>
    <w:rsid w:val="00AA3729"/>
    <w:rsid w:val="00AA4967"/>
    <w:rsid w:val="00AB1B33"/>
    <w:rsid w:val="00AB500B"/>
    <w:rsid w:val="00AC1FD3"/>
    <w:rsid w:val="00AC4995"/>
    <w:rsid w:val="00AC4B42"/>
    <w:rsid w:val="00AC57CE"/>
    <w:rsid w:val="00AD0B10"/>
    <w:rsid w:val="00AD38B7"/>
    <w:rsid w:val="00AD5612"/>
    <w:rsid w:val="00AD747D"/>
    <w:rsid w:val="00AD7572"/>
    <w:rsid w:val="00AE0936"/>
    <w:rsid w:val="00AE44C4"/>
    <w:rsid w:val="00AE4AF2"/>
    <w:rsid w:val="00AE620F"/>
    <w:rsid w:val="00AF0131"/>
    <w:rsid w:val="00AF1376"/>
    <w:rsid w:val="00AF2834"/>
    <w:rsid w:val="00AF3232"/>
    <w:rsid w:val="00AF39FD"/>
    <w:rsid w:val="00AF3A87"/>
    <w:rsid w:val="00AF4067"/>
    <w:rsid w:val="00AF537D"/>
    <w:rsid w:val="00AF59BE"/>
    <w:rsid w:val="00B0210A"/>
    <w:rsid w:val="00B02203"/>
    <w:rsid w:val="00B04ABC"/>
    <w:rsid w:val="00B11850"/>
    <w:rsid w:val="00B13841"/>
    <w:rsid w:val="00B13E9D"/>
    <w:rsid w:val="00B17D92"/>
    <w:rsid w:val="00B2026C"/>
    <w:rsid w:val="00B22BC0"/>
    <w:rsid w:val="00B30346"/>
    <w:rsid w:val="00B33A97"/>
    <w:rsid w:val="00B33B1F"/>
    <w:rsid w:val="00B34191"/>
    <w:rsid w:val="00B351A0"/>
    <w:rsid w:val="00B36012"/>
    <w:rsid w:val="00B42402"/>
    <w:rsid w:val="00B45727"/>
    <w:rsid w:val="00B464F2"/>
    <w:rsid w:val="00B47BC3"/>
    <w:rsid w:val="00B5022C"/>
    <w:rsid w:val="00B51A6D"/>
    <w:rsid w:val="00B52948"/>
    <w:rsid w:val="00B5328A"/>
    <w:rsid w:val="00B5397C"/>
    <w:rsid w:val="00B546F4"/>
    <w:rsid w:val="00B54B15"/>
    <w:rsid w:val="00B5598F"/>
    <w:rsid w:val="00B56040"/>
    <w:rsid w:val="00B573D8"/>
    <w:rsid w:val="00B57BFC"/>
    <w:rsid w:val="00B63311"/>
    <w:rsid w:val="00B636F4"/>
    <w:rsid w:val="00B63C25"/>
    <w:rsid w:val="00B65AA7"/>
    <w:rsid w:val="00B67109"/>
    <w:rsid w:val="00B67178"/>
    <w:rsid w:val="00B67E39"/>
    <w:rsid w:val="00B7117E"/>
    <w:rsid w:val="00B71D62"/>
    <w:rsid w:val="00B73272"/>
    <w:rsid w:val="00B76C83"/>
    <w:rsid w:val="00B80B18"/>
    <w:rsid w:val="00B83ABE"/>
    <w:rsid w:val="00B83DD2"/>
    <w:rsid w:val="00B850BE"/>
    <w:rsid w:val="00B9146A"/>
    <w:rsid w:val="00B943CA"/>
    <w:rsid w:val="00B95198"/>
    <w:rsid w:val="00B97152"/>
    <w:rsid w:val="00B97788"/>
    <w:rsid w:val="00B97C94"/>
    <w:rsid w:val="00BA0E45"/>
    <w:rsid w:val="00BA23AC"/>
    <w:rsid w:val="00BA2D6E"/>
    <w:rsid w:val="00BA327A"/>
    <w:rsid w:val="00BA40DC"/>
    <w:rsid w:val="00BA486F"/>
    <w:rsid w:val="00BA4E27"/>
    <w:rsid w:val="00BA64BB"/>
    <w:rsid w:val="00BA762F"/>
    <w:rsid w:val="00BB3069"/>
    <w:rsid w:val="00BB73E8"/>
    <w:rsid w:val="00BC218A"/>
    <w:rsid w:val="00BC2FCB"/>
    <w:rsid w:val="00BC31FE"/>
    <w:rsid w:val="00BC4DCD"/>
    <w:rsid w:val="00BC69CD"/>
    <w:rsid w:val="00BC6BE7"/>
    <w:rsid w:val="00BC74DC"/>
    <w:rsid w:val="00BD1DF7"/>
    <w:rsid w:val="00BD23C9"/>
    <w:rsid w:val="00BD2C54"/>
    <w:rsid w:val="00BD37AB"/>
    <w:rsid w:val="00BD6456"/>
    <w:rsid w:val="00BE10B7"/>
    <w:rsid w:val="00BE2BC3"/>
    <w:rsid w:val="00BE4C1F"/>
    <w:rsid w:val="00BF36BC"/>
    <w:rsid w:val="00BF4A2C"/>
    <w:rsid w:val="00BF759C"/>
    <w:rsid w:val="00C0036F"/>
    <w:rsid w:val="00C02C5C"/>
    <w:rsid w:val="00C117A3"/>
    <w:rsid w:val="00C11983"/>
    <w:rsid w:val="00C122C2"/>
    <w:rsid w:val="00C1347A"/>
    <w:rsid w:val="00C15879"/>
    <w:rsid w:val="00C175EE"/>
    <w:rsid w:val="00C24990"/>
    <w:rsid w:val="00C25267"/>
    <w:rsid w:val="00C27A52"/>
    <w:rsid w:val="00C27A77"/>
    <w:rsid w:val="00C310C7"/>
    <w:rsid w:val="00C32316"/>
    <w:rsid w:val="00C3307C"/>
    <w:rsid w:val="00C401E6"/>
    <w:rsid w:val="00C40585"/>
    <w:rsid w:val="00C43F8E"/>
    <w:rsid w:val="00C44109"/>
    <w:rsid w:val="00C458D5"/>
    <w:rsid w:val="00C46128"/>
    <w:rsid w:val="00C471D1"/>
    <w:rsid w:val="00C527C1"/>
    <w:rsid w:val="00C52E45"/>
    <w:rsid w:val="00C54337"/>
    <w:rsid w:val="00C54C57"/>
    <w:rsid w:val="00C56385"/>
    <w:rsid w:val="00C5653B"/>
    <w:rsid w:val="00C57D12"/>
    <w:rsid w:val="00C61F04"/>
    <w:rsid w:val="00C628D3"/>
    <w:rsid w:val="00C634F3"/>
    <w:rsid w:val="00C716E8"/>
    <w:rsid w:val="00C72D18"/>
    <w:rsid w:val="00C73B6E"/>
    <w:rsid w:val="00C749C5"/>
    <w:rsid w:val="00C757B5"/>
    <w:rsid w:val="00C75855"/>
    <w:rsid w:val="00C761B1"/>
    <w:rsid w:val="00C77EE2"/>
    <w:rsid w:val="00C808CA"/>
    <w:rsid w:val="00C80B96"/>
    <w:rsid w:val="00C8171C"/>
    <w:rsid w:val="00C8481B"/>
    <w:rsid w:val="00C87E7D"/>
    <w:rsid w:val="00C915FB"/>
    <w:rsid w:val="00C939E7"/>
    <w:rsid w:val="00C93CC5"/>
    <w:rsid w:val="00C9440B"/>
    <w:rsid w:val="00C953EA"/>
    <w:rsid w:val="00C9787D"/>
    <w:rsid w:val="00C97CA9"/>
    <w:rsid w:val="00CA5C34"/>
    <w:rsid w:val="00CA6033"/>
    <w:rsid w:val="00CA6256"/>
    <w:rsid w:val="00CA6E81"/>
    <w:rsid w:val="00CA79D2"/>
    <w:rsid w:val="00CA7CC5"/>
    <w:rsid w:val="00CB0B9D"/>
    <w:rsid w:val="00CB2278"/>
    <w:rsid w:val="00CB316C"/>
    <w:rsid w:val="00CB3434"/>
    <w:rsid w:val="00CB3607"/>
    <w:rsid w:val="00CB3657"/>
    <w:rsid w:val="00CB42CF"/>
    <w:rsid w:val="00CB5C91"/>
    <w:rsid w:val="00CB6EC1"/>
    <w:rsid w:val="00CC008C"/>
    <w:rsid w:val="00CC05C2"/>
    <w:rsid w:val="00CC2631"/>
    <w:rsid w:val="00CC39C1"/>
    <w:rsid w:val="00CD2120"/>
    <w:rsid w:val="00CD647A"/>
    <w:rsid w:val="00CD723A"/>
    <w:rsid w:val="00CD7A1B"/>
    <w:rsid w:val="00CE06B5"/>
    <w:rsid w:val="00CE1B42"/>
    <w:rsid w:val="00CE1E8A"/>
    <w:rsid w:val="00CE3AE5"/>
    <w:rsid w:val="00CE67D3"/>
    <w:rsid w:val="00CE6964"/>
    <w:rsid w:val="00CE6DB7"/>
    <w:rsid w:val="00CF199B"/>
    <w:rsid w:val="00CF25B8"/>
    <w:rsid w:val="00CF4446"/>
    <w:rsid w:val="00CF4569"/>
    <w:rsid w:val="00CF4E1E"/>
    <w:rsid w:val="00D00E58"/>
    <w:rsid w:val="00D02A0B"/>
    <w:rsid w:val="00D12072"/>
    <w:rsid w:val="00D16090"/>
    <w:rsid w:val="00D168B9"/>
    <w:rsid w:val="00D20B39"/>
    <w:rsid w:val="00D20E16"/>
    <w:rsid w:val="00D22021"/>
    <w:rsid w:val="00D22202"/>
    <w:rsid w:val="00D222EE"/>
    <w:rsid w:val="00D22BFA"/>
    <w:rsid w:val="00D22EE4"/>
    <w:rsid w:val="00D23679"/>
    <w:rsid w:val="00D24F92"/>
    <w:rsid w:val="00D25B80"/>
    <w:rsid w:val="00D25E4F"/>
    <w:rsid w:val="00D26020"/>
    <w:rsid w:val="00D279DC"/>
    <w:rsid w:val="00D34E69"/>
    <w:rsid w:val="00D37A90"/>
    <w:rsid w:val="00D416CD"/>
    <w:rsid w:val="00D4302C"/>
    <w:rsid w:val="00D43699"/>
    <w:rsid w:val="00D44A93"/>
    <w:rsid w:val="00D47A49"/>
    <w:rsid w:val="00D50E31"/>
    <w:rsid w:val="00D511A2"/>
    <w:rsid w:val="00D534D6"/>
    <w:rsid w:val="00D5377B"/>
    <w:rsid w:val="00D5508D"/>
    <w:rsid w:val="00D55271"/>
    <w:rsid w:val="00D569EA"/>
    <w:rsid w:val="00D62307"/>
    <w:rsid w:val="00D652CB"/>
    <w:rsid w:val="00D65A51"/>
    <w:rsid w:val="00D669E0"/>
    <w:rsid w:val="00D72CF2"/>
    <w:rsid w:val="00D73CD6"/>
    <w:rsid w:val="00D76E46"/>
    <w:rsid w:val="00D829CF"/>
    <w:rsid w:val="00D8385A"/>
    <w:rsid w:val="00D84F3A"/>
    <w:rsid w:val="00D9065E"/>
    <w:rsid w:val="00D92CD8"/>
    <w:rsid w:val="00D92EDC"/>
    <w:rsid w:val="00D960F2"/>
    <w:rsid w:val="00D9677B"/>
    <w:rsid w:val="00D972E8"/>
    <w:rsid w:val="00D97A75"/>
    <w:rsid w:val="00DA1958"/>
    <w:rsid w:val="00DA3F3B"/>
    <w:rsid w:val="00DA6FDF"/>
    <w:rsid w:val="00DA7582"/>
    <w:rsid w:val="00DB0249"/>
    <w:rsid w:val="00DB09F6"/>
    <w:rsid w:val="00DB0DEC"/>
    <w:rsid w:val="00DB257A"/>
    <w:rsid w:val="00DB28E0"/>
    <w:rsid w:val="00DB3BD3"/>
    <w:rsid w:val="00DB65EA"/>
    <w:rsid w:val="00DC1A52"/>
    <w:rsid w:val="00DC1D34"/>
    <w:rsid w:val="00DC2221"/>
    <w:rsid w:val="00DC3149"/>
    <w:rsid w:val="00DC4EC1"/>
    <w:rsid w:val="00DC60D8"/>
    <w:rsid w:val="00DD076F"/>
    <w:rsid w:val="00DD0F7C"/>
    <w:rsid w:val="00DD15E8"/>
    <w:rsid w:val="00DD378E"/>
    <w:rsid w:val="00DD4F81"/>
    <w:rsid w:val="00DD5AAC"/>
    <w:rsid w:val="00DD74DC"/>
    <w:rsid w:val="00DE1666"/>
    <w:rsid w:val="00DE46FC"/>
    <w:rsid w:val="00DE5A4C"/>
    <w:rsid w:val="00DE7D51"/>
    <w:rsid w:val="00DF1E47"/>
    <w:rsid w:val="00DF4AA0"/>
    <w:rsid w:val="00DF6261"/>
    <w:rsid w:val="00E00F16"/>
    <w:rsid w:val="00E018EF"/>
    <w:rsid w:val="00E01912"/>
    <w:rsid w:val="00E02555"/>
    <w:rsid w:val="00E0354B"/>
    <w:rsid w:val="00E04DD1"/>
    <w:rsid w:val="00E04F08"/>
    <w:rsid w:val="00E04FA8"/>
    <w:rsid w:val="00E11F9A"/>
    <w:rsid w:val="00E13DEA"/>
    <w:rsid w:val="00E16739"/>
    <w:rsid w:val="00E21444"/>
    <w:rsid w:val="00E23270"/>
    <w:rsid w:val="00E23642"/>
    <w:rsid w:val="00E252B0"/>
    <w:rsid w:val="00E26E18"/>
    <w:rsid w:val="00E2757D"/>
    <w:rsid w:val="00E32D5F"/>
    <w:rsid w:val="00E35F93"/>
    <w:rsid w:val="00E449B7"/>
    <w:rsid w:val="00E46699"/>
    <w:rsid w:val="00E466E7"/>
    <w:rsid w:val="00E46F9F"/>
    <w:rsid w:val="00E477ED"/>
    <w:rsid w:val="00E52F15"/>
    <w:rsid w:val="00E558AA"/>
    <w:rsid w:val="00E559DF"/>
    <w:rsid w:val="00E55AB2"/>
    <w:rsid w:val="00E60008"/>
    <w:rsid w:val="00E613EF"/>
    <w:rsid w:val="00E63C4B"/>
    <w:rsid w:val="00E6673B"/>
    <w:rsid w:val="00E6689B"/>
    <w:rsid w:val="00E67B58"/>
    <w:rsid w:val="00E67E0C"/>
    <w:rsid w:val="00E67F06"/>
    <w:rsid w:val="00E76F93"/>
    <w:rsid w:val="00E80600"/>
    <w:rsid w:val="00E8174E"/>
    <w:rsid w:val="00E81FEB"/>
    <w:rsid w:val="00E83467"/>
    <w:rsid w:val="00E83A39"/>
    <w:rsid w:val="00E84B10"/>
    <w:rsid w:val="00E86436"/>
    <w:rsid w:val="00E869C9"/>
    <w:rsid w:val="00E86A18"/>
    <w:rsid w:val="00E86DDE"/>
    <w:rsid w:val="00E87BB0"/>
    <w:rsid w:val="00E90CCE"/>
    <w:rsid w:val="00E919B5"/>
    <w:rsid w:val="00E92764"/>
    <w:rsid w:val="00E92A0D"/>
    <w:rsid w:val="00E92F78"/>
    <w:rsid w:val="00EA2CF5"/>
    <w:rsid w:val="00EA3ED2"/>
    <w:rsid w:val="00EA5DC6"/>
    <w:rsid w:val="00EA7882"/>
    <w:rsid w:val="00EA78E0"/>
    <w:rsid w:val="00EB38E2"/>
    <w:rsid w:val="00EB3B5E"/>
    <w:rsid w:val="00EB5439"/>
    <w:rsid w:val="00EB55F2"/>
    <w:rsid w:val="00EB7006"/>
    <w:rsid w:val="00EC107D"/>
    <w:rsid w:val="00EC2F35"/>
    <w:rsid w:val="00EC39E7"/>
    <w:rsid w:val="00EC3D2B"/>
    <w:rsid w:val="00EC44EC"/>
    <w:rsid w:val="00EC57A8"/>
    <w:rsid w:val="00EC6506"/>
    <w:rsid w:val="00EC7240"/>
    <w:rsid w:val="00EC753B"/>
    <w:rsid w:val="00EC7C1F"/>
    <w:rsid w:val="00ED0DC3"/>
    <w:rsid w:val="00ED0E41"/>
    <w:rsid w:val="00ED283A"/>
    <w:rsid w:val="00ED51A1"/>
    <w:rsid w:val="00ED7C96"/>
    <w:rsid w:val="00ED7EFB"/>
    <w:rsid w:val="00EE0279"/>
    <w:rsid w:val="00EE07A2"/>
    <w:rsid w:val="00EE1147"/>
    <w:rsid w:val="00EE3EE4"/>
    <w:rsid w:val="00EE45BB"/>
    <w:rsid w:val="00EE6F5A"/>
    <w:rsid w:val="00EE7786"/>
    <w:rsid w:val="00EF1D6A"/>
    <w:rsid w:val="00EF2341"/>
    <w:rsid w:val="00EF27B7"/>
    <w:rsid w:val="00EF2954"/>
    <w:rsid w:val="00EF328F"/>
    <w:rsid w:val="00EF5463"/>
    <w:rsid w:val="00EF6DF8"/>
    <w:rsid w:val="00EF7E2A"/>
    <w:rsid w:val="00F00199"/>
    <w:rsid w:val="00F013BA"/>
    <w:rsid w:val="00F029D5"/>
    <w:rsid w:val="00F02DEE"/>
    <w:rsid w:val="00F03225"/>
    <w:rsid w:val="00F03895"/>
    <w:rsid w:val="00F04AE2"/>
    <w:rsid w:val="00F05D0C"/>
    <w:rsid w:val="00F13A97"/>
    <w:rsid w:val="00F14D50"/>
    <w:rsid w:val="00F157A0"/>
    <w:rsid w:val="00F17A8C"/>
    <w:rsid w:val="00F22A30"/>
    <w:rsid w:val="00F268E9"/>
    <w:rsid w:val="00F27628"/>
    <w:rsid w:val="00F3071C"/>
    <w:rsid w:val="00F34181"/>
    <w:rsid w:val="00F34683"/>
    <w:rsid w:val="00F34DF4"/>
    <w:rsid w:val="00F35A55"/>
    <w:rsid w:val="00F403FC"/>
    <w:rsid w:val="00F4124A"/>
    <w:rsid w:val="00F416C6"/>
    <w:rsid w:val="00F42215"/>
    <w:rsid w:val="00F42464"/>
    <w:rsid w:val="00F42F3C"/>
    <w:rsid w:val="00F46222"/>
    <w:rsid w:val="00F47029"/>
    <w:rsid w:val="00F52090"/>
    <w:rsid w:val="00F53D35"/>
    <w:rsid w:val="00F614AF"/>
    <w:rsid w:val="00F6197C"/>
    <w:rsid w:val="00F62584"/>
    <w:rsid w:val="00F63F47"/>
    <w:rsid w:val="00F6450E"/>
    <w:rsid w:val="00F65228"/>
    <w:rsid w:val="00F652DD"/>
    <w:rsid w:val="00F66F5E"/>
    <w:rsid w:val="00F70A40"/>
    <w:rsid w:val="00F710BC"/>
    <w:rsid w:val="00F77E77"/>
    <w:rsid w:val="00F82F7A"/>
    <w:rsid w:val="00F86895"/>
    <w:rsid w:val="00F91B65"/>
    <w:rsid w:val="00F92605"/>
    <w:rsid w:val="00F92704"/>
    <w:rsid w:val="00F968D5"/>
    <w:rsid w:val="00F97F60"/>
    <w:rsid w:val="00FA270D"/>
    <w:rsid w:val="00FA3C13"/>
    <w:rsid w:val="00FA3ED4"/>
    <w:rsid w:val="00FA52E0"/>
    <w:rsid w:val="00FA68A3"/>
    <w:rsid w:val="00FB0049"/>
    <w:rsid w:val="00FB03D6"/>
    <w:rsid w:val="00FB0885"/>
    <w:rsid w:val="00FB1885"/>
    <w:rsid w:val="00FB193A"/>
    <w:rsid w:val="00FB1EC7"/>
    <w:rsid w:val="00FB2CDB"/>
    <w:rsid w:val="00FB5CAA"/>
    <w:rsid w:val="00FB66A3"/>
    <w:rsid w:val="00FB6D88"/>
    <w:rsid w:val="00FC1599"/>
    <w:rsid w:val="00FC2622"/>
    <w:rsid w:val="00FC2A67"/>
    <w:rsid w:val="00FC3979"/>
    <w:rsid w:val="00FC5637"/>
    <w:rsid w:val="00FC6088"/>
    <w:rsid w:val="00FD2B6B"/>
    <w:rsid w:val="00FD354D"/>
    <w:rsid w:val="00FD5B16"/>
    <w:rsid w:val="00FD677B"/>
    <w:rsid w:val="00FD76B4"/>
    <w:rsid w:val="00FE29F8"/>
    <w:rsid w:val="00FE7BC9"/>
    <w:rsid w:val="00FF0711"/>
    <w:rsid w:val="00FF0853"/>
    <w:rsid w:val="00FF0856"/>
    <w:rsid w:val="00FF0FF7"/>
    <w:rsid w:val="00FF23A7"/>
    <w:rsid w:val="00FF3664"/>
    <w:rsid w:val="00FF446C"/>
    <w:rsid w:val="00FF4E0E"/>
    <w:rsid w:val="00FF6B34"/>
    <w:rsid w:val="00FF7517"/>
    <w:rsid w:val="00FF7D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C89CB"/>
  <w15:chartTrackingRefBased/>
  <w15:docId w15:val="{A3867265-22DB-4866-B207-11658362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28CD"/>
    <w:pPr>
      <w:spacing w:after="0" w:line="240" w:lineRule="auto"/>
      <w:jc w:val="both"/>
    </w:pPr>
    <w:rPr>
      <w:rFonts w:ascii="Calibri" w:eastAsia="Calibri" w:hAnsi="Calibri" w:cs="Times New Roman"/>
    </w:rPr>
  </w:style>
  <w:style w:type="paragraph" w:styleId="Antrat1">
    <w:name w:val="heading 1"/>
    <w:basedOn w:val="prastasis"/>
    <w:next w:val="prastasis"/>
    <w:link w:val="Antrat1Diagrama"/>
    <w:qFormat/>
    <w:rsid w:val="007923ED"/>
    <w:pPr>
      <w:keepNext/>
      <w:tabs>
        <w:tab w:val="right" w:leader="dot" w:pos="9639"/>
      </w:tabs>
      <w:jc w:val="center"/>
      <w:outlineLvl w:val="0"/>
    </w:pPr>
    <w:rPr>
      <w:rFonts w:asciiTheme="minorHAnsi" w:eastAsiaTheme="majorEastAsia" w:hAnsiTheme="minorHAnsi" w:cstheme="minorHAnsi"/>
      <w:b/>
      <w:color w:val="323E4F" w:themeColor="text2" w:themeShade="BF"/>
      <w:szCs w:val="32"/>
    </w:rPr>
  </w:style>
  <w:style w:type="paragraph" w:styleId="Antrat2">
    <w:name w:val="heading 2"/>
    <w:basedOn w:val="prastasis"/>
    <w:next w:val="prastasis"/>
    <w:link w:val="Antrat2Diagrama"/>
    <w:qFormat/>
    <w:rsid w:val="000028CD"/>
    <w:pPr>
      <w:keepNext/>
      <w:jc w:val="center"/>
      <w:outlineLvl w:val="1"/>
    </w:pPr>
    <w:rPr>
      <w:rFonts w:asciiTheme="minorHAnsi" w:eastAsia="Times New Roman" w:hAnsiTheme="minorHAnsi"/>
      <w:b/>
      <w:bCs/>
      <w:iCs/>
      <w:szCs w:val="24"/>
      <w:lang w:eastAsia="lt-LT"/>
    </w:rPr>
  </w:style>
  <w:style w:type="paragraph" w:styleId="Antrat3">
    <w:name w:val="heading 3"/>
    <w:basedOn w:val="prastasis"/>
    <w:next w:val="prastasis"/>
    <w:link w:val="Antrat3Diagrama"/>
    <w:uiPriority w:val="9"/>
    <w:unhideWhenUsed/>
    <w:qFormat/>
    <w:rsid w:val="00963B91"/>
    <w:pPr>
      <w:keepNext/>
      <w:keepLines/>
      <w:tabs>
        <w:tab w:val="left" w:pos="567"/>
      </w:tabs>
      <w:ind w:firstLine="709"/>
      <w:outlineLvl w:val="2"/>
    </w:pPr>
    <w:rPr>
      <w:rFonts w:asciiTheme="minorHAnsi" w:eastAsiaTheme="majorEastAsia" w:hAnsiTheme="minorHAnsi" w:cstheme="majorBidi"/>
      <w:bCs/>
      <w: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923ED"/>
    <w:rPr>
      <w:rFonts w:eastAsiaTheme="majorEastAsia" w:cstheme="minorHAnsi"/>
      <w:b/>
      <w:color w:val="323E4F" w:themeColor="text2" w:themeShade="BF"/>
      <w:szCs w:val="32"/>
    </w:rPr>
  </w:style>
  <w:style w:type="character" w:customStyle="1" w:styleId="Antrat2Diagrama">
    <w:name w:val="Antraštė 2 Diagrama"/>
    <w:basedOn w:val="Numatytasispastraiposriftas"/>
    <w:link w:val="Antrat2"/>
    <w:rsid w:val="000028CD"/>
    <w:rPr>
      <w:rFonts w:eastAsia="Times New Roman" w:cs="Times New Roman"/>
      <w:b/>
      <w:bCs/>
      <w:iCs/>
      <w:szCs w:val="24"/>
      <w:lang w:eastAsia="lt-LT"/>
    </w:rPr>
  </w:style>
  <w:style w:type="character" w:customStyle="1" w:styleId="Antrat3Diagrama">
    <w:name w:val="Antraštė 3 Diagrama"/>
    <w:basedOn w:val="Numatytasispastraiposriftas"/>
    <w:link w:val="Antrat3"/>
    <w:uiPriority w:val="9"/>
    <w:rsid w:val="00963B91"/>
    <w:rPr>
      <w:rFonts w:eastAsiaTheme="majorEastAsia" w:cstheme="majorBidi"/>
      <w:bCs/>
      <w:i/>
    </w:rPr>
  </w:style>
  <w:style w:type="character" w:styleId="Hipersaitas">
    <w:name w:val="Hyperlink"/>
    <w:uiPriority w:val="99"/>
    <w:unhideWhenUsed/>
    <w:rsid w:val="000028CD"/>
    <w:rPr>
      <w:color w:val="0000FF"/>
      <w:u w:val="single"/>
    </w:rPr>
  </w:style>
  <w:style w:type="paragraph" w:customStyle="1" w:styleId="c41dispositifintroduction">
    <w:name w:val="c41dispositifintroduction"/>
    <w:basedOn w:val="prastasis"/>
    <w:rsid w:val="000028CD"/>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0028C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0028CD"/>
    <w:rPr>
      <w:rFonts w:ascii="Calibri" w:eastAsia="Times New Roman" w:hAnsi="Calibri" w:cs="Times New Roman"/>
    </w:rPr>
  </w:style>
  <w:style w:type="paragraph" w:styleId="Antrats">
    <w:name w:val="header"/>
    <w:basedOn w:val="prastasis"/>
    <w:link w:val="AntratsDiagrama"/>
    <w:uiPriority w:val="99"/>
    <w:unhideWhenUsed/>
    <w:rsid w:val="000028CD"/>
    <w:pPr>
      <w:tabs>
        <w:tab w:val="center" w:pos="4819"/>
        <w:tab w:val="right" w:pos="9638"/>
      </w:tabs>
    </w:pPr>
  </w:style>
  <w:style w:type="character" w:customStyle="1" w:styleId="AntratsDiagrama">
    <w:name w:val="Antraštės Diagrama"/>
    <w:basedOn w:val="Numatytasispastraiposriftas"/>
    <w:link w:val="Antrats"/>
    <w:uiPriority w:val="99"/>
    <w:rsid w:val="000028CD"/>
    <w:rPr>
      <w:rFonts w:ascii="Calibri" w:eastAsia="Calibri" w:hAnsi="Calibri" w:cs="Times New Roman"/>
    </w:rPr>
  </w:style>
  <w:style w:type="paragraph" w:styleId="Porat">
    <w:name w:val="footer"/>
    <w:basedOn w:val="prastasis"/>
    <w:link w:val="PoratDiagrama"/>
    <w:uiPriority w:val="99"/>
    <w:unhideWhenUsed/>
    <w:rsid w:val="000028CD"/>
    <w:pPr>
      <w:tabs>
        <w:tab w:val="center" w:pos="4819"/>
        <w:tab w:val="right" w:pos="9638"/>
      </w:tabs>
    </w:pPr>
  </w:style>
  <w:style w:type="character" w:customStyle="1" w:styleId="PoratDiagrama">
    <w:name w:val="Poraštė Diagrama"/>
    <w:basedOn w:val="Numatytasispastraiposriftas"/>
    <w:link w:val="Porat"/>
    <w:uiPriority w:val="99"/>
    <w:rsid w:val="000028CD"/>
    <w:rPr>
      <w:rFonts w:ascii="Calibri" w:eastAsia="Calibri" w:hAnsi="Calibri" w:cs="Times New Roman"/>
    </w:rPr>
  </w:style>
  <w:style w:type="paragraph" w:styleId="Turinioantrat">
    <w:name w:val="TOC Heading"/>
    <w:basedOn w:val="Antrat1"/>
    <w:next w:val="prastasis"/>
    <w:uiPriority w:val="39"/>
    <w:unhideWhenUsed/>
    <w:qFormat/>
    <w:rsid w:val="000028CD"/>
    <w:pPr>
      <w:spacing w:line="259" w:lineRule="auto"/>
      <w:jc w:val="left"/>
      <w:outlineLvl w:val="9"/>
    </w:pPr>
    <w:rPr>
      <w:lang w:eastAsia="lt-LT"/>
    </w:rPr>
  </w:style>
  <w:style w:type="paragraph" w:styleId="Turinys1">
    <w:name w:val="toc 1"/>
    <w:basedOn w:val="prastasis"/>
    <w:next w:val="prastasis"/>
    <w:autoRedefine/>
    <w:uiPriority w:val="39"/>
    <w:unhideWhenUsed/>
    <w:rsid w:val="000C30EF"/>
    <w:pPr>
      <w:tabs>
        <w:tab w:val="right" w:leader="dot" w:pos="9628"/>
      </w:tabs>
      <w:spacing w:after="100"/>
    </w:pPr>
    <w:rPr>
      <w:rFonts w:eastAsia="Times New Roman" w:cstheme="minorHAnsi"/>
      <w:b/>
      <w:bCs/>
      <w:iCs/>
      <w:noProof/>
      <w:color w:val="1F4E79" w:themeColor="accent1" w:themeShade="80"/>
      <w:kern w:val="32"/>
      <w:sz w:val="20"/>
      <w:lang w:eastAsia="lt-LT"/>
    </w:rPr>
  </w:style>
  <w:style w:type="paragraph" w:styleId="Turinys2">
    <w:name w:val="toc 2"/>
    <w:basedOn w:val="prastasis"/>
    <w:next w:val="prastasis"/>
    <w:autoRedefine/>
    <w:uiPriority w:val="39"/>
    <w:unhideWhenUsed/>
    <w:rsid w:val="006C6208"/>
    <w:pPr>
      <w:tabs>
        <w:tab w:val="left" w:pos="6379"/>
        <w:tab w:val="right" w:leader="dot" w:pos="9628"/>
      </w:tabs>
      <w:spacing w:after="100"/>
      <w:ind w:left="220"/>
      <w:jc w:val="center"/>
    </w:pPr>
    <w:rPr>
      <w:rFonts w:asciiTheme="minorHAnsi" w:hAnsiTheme="minorHAnsi" w:cstheme="minorHAnsi"/>
      <w:b/>
      <w:noProof/>
      <w:sz w:val="20"/>
    </w:rPr>
  </w:style>
  <w:style w:type="paragraph" w:styleId="Turinys3">
    <w:name w:val="toc 3"/>
    <w:basedOn w:val="prastasis"/>
    <w:next w:val="prastasis"/>
    <w:autoRedefine/>
    <w:uiPriority w:val="39"/>
    <w:unhideWhenUsed/>
    <w:rsid w:val="006C6208"/>
    <w:pPr>
      <w:tabs>
        <w:tab w:val="right" w:leader="dot" w:pos="9628"/>
      </w:tabs>
      <w:spacing w:after="100"/>
      <w:ind w:left="440"/>
    </w:pPr>
    <w:rPr>
      <w:rFonts w:eastAsia="Times New Roman" w:cstheme="minorHAnsi"/>
      <w:bCs/>
      <w:i/>
      <w:noProof/>
      <w:sz w:val="20"/>
      <w:shd w:val="clear" w:color="auto" w:fill="FFFFFF"/>
      <w:lang w:eastAsia="lt-LT"/>
    </w:rPr>
  </w:style>
  <w:style w:type="character" w:styleId="Perirtashipersaitas">
    <w:name w:val="FollowedHyperlink"/>
    <w:basedOn w:val="Numatytasispastraiposriftas"/>
    <w:uiPriority w:val="99"/>
    <w:semiHidden/>
    <w:unhideWhenUsed/>
    <w:rsid w:val="000028CD"/>
    <w:rPr>
      <w:color w:val="954F72" w:themeColor="followedHyperlink"/>
      <w:u w:val="single"/>
    </w:rPr>
  </w:style>
  <w:style w:type="character" w:styleId="Komentaronuoroda">
    <w:name w:val="annotation reference"/>
    <w:basedOn w:val="Numatytasispastraiposriftas"/>
    <w:uiPriority w:val="99"/>
    <w:semiHidden/>
    <w:unhideWhenUsed/>
    <w:rsid w:val="00A93883"/>
    <w:rPr>
      <w:sz w:val="16"/>
      <w:szCs w:val="16"/>
    </w:rPr>
  </w:style>
  <w:style w:type="paragraph" w:styleId="Komentarotekstas">
    <w:name w:val="annotation text"/>
    <w:basedOn w:val="prastasis"/>
    <w:link w:val="KomentarotekstasDiagrama"/>
    <w:uiPriority w:val="99"/>
    <w:semiHidden/>
    <w:unhideWhenUsed/>
    <w:rsid w:val="00A93883"/>
    <w:rPr>
      <w:sz w:val="20"/>
      <w:szCs w:val="20"/>
    </w:rPr>
  </w:style>
  <w:style w:type="character" w:customStyle="1" w:styleId="KomentarotekstasDiagrama">
    <w:name w:val="Komentaro tekstas Diagrama"/>
    <w:basedOn w:val="Numatytasispastraiposriftas"/>
    <w:link w:val="Komentarotekstas"/>
    <w:uiPriority w:val="99"/>
    <w:semiHidden/>
    <w:rsid w:val="00A93883"/>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A93883"/>
    <w:rPr>
      <w:b/>
      <w:bCs/>
    </w:rPr>
  </w:style>
  <w:style w:type="character" w:customStyle="1" w:styleId="KomentarotemaDiagrama">
    <w:name w:val="Komentaro tema Diagrama"/>
    <w:basedOn w:val="KomentarotekstasDiagrama"/>
    <w:link w:val="Komentarotema"/>
    <w:uiPriority w:val="99"/>
    <w:semiHidden/>
    <w:rsid w:val="00A93883"/>
    <w:rPr>
      <w:rFonts w:ascii="Calibri" w:eastAsia="Calibri" w:hAnsi="Calibri" w:cs="Times New Roman"/>
      <w:b/>
      <w:bCs/>
      <w:sz w:val="20"/>
      <w:szCs w:val="20"/>
    </w:rPr>
  </w:style>
  <w:style w:type="paragraph" w:styleId="Debesliotekstas">
    <w:name w:val="Balloon Text"/>
    <w:basedOn w:val="prastasis"/>
    <w:link w:val="DebesliotekstasDiagrama"/>
    <w:uiPriority w:val="99"/>
    <w:semiHidden/>
    <w:unhideWhenUsed/>
    <w:rsid w:val="00A9388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93883"/>
    <w:rPr>
      <w:rFonts w:ascii="Segoe UI" w:eastAsia="Calibri" w:hAnsi="Segoe UI" w:cs="Segoe UI"/>
      <w:sz w:val="18"/>
      <w:szCs w:val="18"/>
    </w:rPr>
  </w:style>
  <w:style w:type="paragraph" w:customStyle="1" w:styleId="c01pointnumerotealtn">
    <w:name w:val="c01pointnumerotealtn"/>
    <w:basedOn w:val="prastasis"/>
    <w:qFormat/>
    <w:rsid w:val="00C32316"/>
    <w:pPr>
      <w:spacing w:before="100" w:beforeAutospacing="1" w:after="240"/>
      <w:ind w:left="567" w:hanging="539"/>
    </w:pPr>
    <w:rPr>
      <w:rFonts w:ascii="Times New Roman" w:eastAsia="Times New Roman" w:hAnsi="Times New Roman"/>
      <w:sz w:val="24"/>
      <w:szCs w:val="24"/>
      <w:lang w:eastAsia="lt-LT"/>
    </w:rPr>
  </w:style>
  <w:style w:type="paragraph" w:styleId="Puslapioinaostekstas">
    <w:name w:val="footnote text"/>
    <w:basedOn w:val="prastasis"/>
    <w:link w:val="PuslapioinaostekstasDiagrama"/>
    <w:unhideWhenUsed/>
    <w:rsid w:val="009C3BF3"/>
    <w:rPr>
      <w:sz w:val="20"/>
      <w:szCs w:val="20"/>
    </w:rPr>
  </w:style>
  <w:style w:type="character" w:customStyle="1" w:styleId="PuslapioinaostekstasDiagrama">
    <w:name w:val="Puslapio išnašos tekstas Diagrama"/>
    <w:basedOn w:val="Numatytasispastraiposriftas"/>
    <w:link w:val="Puslapioinaostekstas"/>
    <w:uiPriority w:val="99"/>
    <w:rsid w:val="009C3BF3"/>
    <w:rPr>
      <w:rFonts w:ascii="Calibri" w:eastAsia="Calibri" w:hAnsi="Calibri" w:cs="Times New Roman"/>
      <w:sz w:val="20"/>
      <w:szCs w:val="20"/>
    </w:rPr>
  </w:style>
  <w:style w:type="character" w:styleId="Puslapioinaosnuoroda">
    <w:name w:val="footnote reference"/>
    <w:basedOn w:val="Numatytasispastraiposriftas"/>
    <w:unhideWhenUsed/>
    <w:rsid w:val="009C3BF3"/>
    <w:rPr>
      <w:vertAlign w:val="superscript"/>
    </w:rPr>
  </w:style>
  <w:style w:type="paragraph" w:styleId="Sraopastraipa">
    <w:name w:val="List Paragraph"/>
    <w:basedOn w:val="prastasis"/>
    <w:uiPriority w:val="34"/>
    <w:qFormat/>
    <w:rsid w:val="0033208A"/>
    <w:pPr>
      <w:ind w:left="720"/>
      <w:contextualSpacing/>
    </w:pPr>
  </w:style>
  <w:style w:type="character" w:customStyle="1" w:styleId="UnresolvedMention1">
    <w:name w:val="Unresolved Mention1"/>
    <w:basedOn w:val="Numatytasispastraiposriftas"/>
    <w:uiPriority w:val="99"/>
    <w:semiHidden/>
    <w:unhideWhenUsed/>
    <w:rsid w:val="00150238"/>
    <w:rPr>
      <w:color w:val="605E5C"/>
      <w:shd w:val="clear" w:color="auto" w:fill="E1DFDD"/>
    </w:rPr>
  </w:style>
  <w:style w:type="character" w:customStyle="1" w:styleId="UnresolvedMention2">
    <w:name w:val="Unresolved Mention2"/>
    <w:basedOn w:val="Numatytasispastraiposriftas"/>
    <w:uiPriority w:val="99"/>
    <w:semiHidden/>
    <w:unhideWhenUsed/>
    <w:rsid w:val="009666C6"/>
    <w:rPr>
      <w:color w:val="605E5C"/>
      <w:shd w:val="clear" w:color="auto" w:fill="E1DFDD"/>
    </w:rPr>
  </w:style>
  <w:style w:type="character" w:customStyle="1" w:styleId="UnresolvedMention3">
    <w:name w:val="Unresolved Mention3"/>
    <w:basedOn w:val="Numatytasispastraiposriftas"/>
    <w:uiPriority w:val="99"/>
    <w:semiHidden/>
    <w:unhideWhenUsed/>
    <w:rsid w:val="00E67E0C"/>
    <w:rPr>
      <w:color w:val="605E5C"/>
      <w:shd w:val="clear" w:color="auto" w:fill="E1DFDD"/>
    </w:rPr>
  </w:style>
  <w:style w:type="character" w:customStyle="1" w:styleId="Neapdorotaspaminjimas1">
    <w:name w:val="Neapdorotas paminėjimas1"/>
    <w:basedOn w:val="Numatytasispastraiposriftas"/>
    <w:uiPriority w:val="99"/>
    <w:semiHidden/>
    <w:unhideWhenUsed/>
    <w:rsid w:val="0004150B"/>
    <w:rPr>
      <w:color w:val="605E5C"/>
      <w:shd w:val="clear" w:color="auto" w:fill="E1DFDD"/>
    </w:rPr>
  </w:style>
  <w:style w:type="paragraph" w:styleId="Turinys4">
    <w:name w:val="toc 4"/>
    <w:basedOn w:val="prastasis"/>
    <w:next w:val="prastasis"/>
    <w:autoRedefine/>
    <w:uiPriority w:val="39"/>
    <w:unhideWhenUsed/>
    <w:rsid w:val="00AD7572"/>
    <w:pPr>
      <w:ind w:left="660"/>
    </w:pPr>
  </w:style>
  <w:style w:type="paragraph" w:styleId="Turinys5">
    <w:name w:val="toc 5"/>
    <w:basedOn w:val="prastasis"/>
    <w:next w:val="prastasis"/>
    <w:autoRedefine/>
    <w:uiPriority w:val="39"/>
    <w:unhideWhenUsed/>
    <w:rsid w:val="00AD7572"/>
    <w:pPr>
      <w:ind w:left="880"/>
    </w:pPr>
  </w:style>
  <w:style w:type="paragraph" w:styleId="Turinys6">
    <w:name w:val="toc 6"/>
    <w:basedOn w:val="prastasis"/>
    <w:next w:val="prastasis"/>
    <w:autoRedefine/>
    <w:uiPriority w:val="39"/>
    <w:unhideWhenUsed/>
    <w:rsid w:val="00AD7572"/>
    <w:pPr>
      <w:ind w:left="1100"/>
    </w:pPr>
  </w:style>
  <w:style w:type="paragraph" w:styleId="Turinys7">
    <w:name w:val="toc 7"/>
    <w:basedOn w:val="prastasis"/>
    <w:next w:val="prastasis"/>
    <w:autoRedefine/>
    <w:uiPriority w:val="39"/>
    <w:unhideWhenUsed/>
    <w:rsid w:val="00AD7572"/>
    <w:pPr>
      <w:ind w:left="1320"/>
    </w:pPr>
  </w:style>
  <w:style w:type="paragraph" w:styleId="Turinys8">
    <w:name w:val="toc 8"/>
    <w:basedOn w:val="prastasis"/>
    <w:next w:val="prastasis"/>
    <w:autoRedefine/>
    <w:uiPriority w:val="39"/>
    <w:unhideWhenUsed/>
    <w:rsid w:val="00AD7572"/>
    <w:pPr>
      <w:ind w:left="1540"/>
    </w:pPr>
  </w:style>
  <w:style w:type="paragraph" w:styleId="Turinys9">
    <w:name w:val="toc 9"/>
    <w:basedOn w:val="prastasis"/>
    <w:next w:val="prastasis"/>
    <w:autoRedefine/>
    <w:uiPriority w:val="39"/>
    <w:unhideWhenUsed/>
    <w:rsid w:val="00AD7572"/>
    <w:pPr>
      <w:ind w:left="1760"/>
    </w:pPr>
  </w:style>
  <w:style w:type="paragraph" w:customStyle="1" w:styleId="c02alineaalta">
    <w:name w:val="c02alineaalta"/>
    <w:basedOn w:val="prastasis"/>
    <w:rsid w:val="00672231"/>
    <w:pPr>
      <w:spacing w:before="100" w:beforeAutospacing="1" w:after="100" w:afterAutospacing="1"/>
      <w:jc w:val="left"/>
    </w:pPr>
    <w:rPr>
      <w:rFonts w:ascii="Times New Roman" w:eastAsia="Times New Roman" w:hAnsi="Times New Roman"/>
      <w:sz w:val="24"/>
      <w:szCs w:val="24"/>
      <w:lang w:eastAsia="lt-LT"/>
    </w:rPr>
  </w:style>
  <w:style w:type="paragraph" w:customStyle="1" w:styleId="c30dispositifalinea">
    <w:name w:val="c30dispositifalinea"/>
    <w:basedOn w:val="prastasis"/>
    <w:rsid w:val="00194FF1"/>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4">
    <w:name w:val="Unresolved Mention4"/>
    <w:basedOn w:val="Numatytasispastraiposriftas"/>
    <w:uiPriority w:val="99"/>
    <w:rsid w:val="00165639"/>
    <w:rPr>
      <w:color w:val="605E5C"/>
      <w:shd w:val="clear" w:color="auto" w:fill="E1DFDD"/>
    </w:rPr>
  </w:style>
  <w:style w:type="paragraph" w:customStyle="1" w:styleId="c19centre">
    <w:name w:val="c19centre"/>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71indicateur">
    <w:name w:val="c71indicateur"/>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3tiretlong">
    <w:name w:val="c03tiretlong"/>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75debutdesmotifs">
    <w:name w:val="c75debutdesmotifs"/>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4titre1">
    <w:name w:val="c04titre1"/>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5titre2">
    <w:name w:val="c05titre2"/>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9marge0avecretrait">
    <w:name w:val="c09marge0avecretrait"/>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8dispositif">
    <w:name w:val="c08dispositif"/>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Default">
    <w:name w:val="Default"/>
    <w:rsid w:val="00FB1EC7"/>
    <w:pPr>
      <w:autoSpaceDE w:val="0"/>
      <w:autoSpaceDN w:val="0"/>
      <w:adjustRightInd w:val="0"/>
      <w:spacing w:after="0" w:line="240" w:lineRule="auto"/>
    </w:pPr>
    <w:rPr>
      <w:rFonts w:ascii="Arial" w:hAnsi="Arial" w:cs="Arial"/>
      <w:color w:val="000000"/>
      <w:sz w:val="24"/>
      <w:szCs w:val="24"/>
      <w:lang w:val="en-US"/>
    </w:rPr>
  </w:style>
  <w:style w:type="paragraph" w:customStyle="1" w:styleId="Pagrindinis">
    <w:name w:val="Pagrindinis"/>
    <w:basedOn w:val="Sraopastraipa"/>
    <w:link w:val="PagrindinisChar"/>
    <w:qFormat/>
    <w:rsid w:val="007566FC"/>
    <w:pPr>
      <w:numPr>
        <w:numId w:val="15"/>
      </w:numPr>
      <w:tabs>
        <w:tab w:val="left" w:pos="360"/>
        <w:tab w:val="left" w:pos="1080"/>
      </w:tabs>
      <w:ind w:hanging="360"/>
    </w:pPr>
    <w:rPr>
      <w:rFonts w:ascii="Times New Roman" w:eastAsiaTheme="minorHAnsi" w:hAnsi="Times New Roman"/>
      <w:b/>
      <w:color w:val="000000" w:themeColor="text1"/>
      <w:sz w:val="24"/>
      <w:szCs w:val="24"/>
      <w:shd w:val="clear" w:color="auto" w:fill="FFFFFF"/>
      <w:lang w:val="en-GB"/>
    </w:rPr>
  </w:style>
  <w:style w:type="character" w:customStyle="1" w:styleId="PagrindinisChar">
    <w:name w:val="Pagrindinis Char"/>
    <w:basedOn w:val="Numatytasispastraiposriftas"/>
    <w:link w:val="Pagrindinis"/>
    <w:rsid w:val="007566FC"/>
    <w:rPr>
      <w:rFonts w:ascii="Times New Roman" w:hAnsi="Times New Roman" w:cs="Times New Roman"/>
      <w:b/>
      <w:color w:val="000000" w:themeColor="text1"/>
      <w:sz w:val="24"/>
      <w:szCs w:val="24"/>
      <w:lang w:val="en-GB"/>
    </w:rPr>
  </w:style>
  <w:style w:type="paragraph" w:styleId="Betarp">
    <w:name w:val="No Spacing"/>
    <w:uiPriority w:val="1"/>
    <w:qFormat/>
    <w:rsid w:val="007566FC"/>
    <w:pPr>
      <w:spacing w:after="0" w:line="240" w:lineRule="auto"/>
    </w:pPr>
    <w:rPr>
      <w:rFonts w:ascii="Times New Roman" w:hAnsi="Times New Roman"/>
      <w:color w:val="000000" w:themeColor="text1"/>
      <w:sz w:val="24"/>
      <w:lang w:val="en-US"/>
    </w:rPr>
  </w:style>
  <w:style w:type="character" w:customStyle="1" w:styleId="normaltextrun">
    <w:name w:val="normaltextrun"/>
    <w:basedOn w:val="Numatytasispastraiposriftas"/>
    <w:rsid w:val="007566FC"/>
  </w:style>
  <w:style w:type="character" w:customStyle="1" w:styleId="eop">
    <w:name w:val="eop"/>
    <w:basedOn w:val="Numatytasispastraiposriftas"/>
    <w:rsid w:val="007566FC"/>
  </w:style>
  <w:style w:type="character" w:customStyle="1" w:styleId="coj-italic">
    <w:name w:val="coj-italic"/>
    <w:basedOn w:val="Numatytasispastraiposriftas"/>
    <w:rsid w:val="007566FC"/>
  </w:style>
  <w:style w:type="paragraph" w:customStyle="1" w:styleId="coj-normal">
    <w:name w:val="coj-normal"/>
    <w:basedOn w:val="prastasis"/>
    <w:rsid w:val="007566FC"/>
    <w:pPr>
      <w:spacing w:before="100" w:beforeAutospacing="1" w:after="100" w:afterAutospacing="1"/>
      <w:jc w:val="left"/>
    </w:pPr>
    <w:rPr>
      <w:rFonts w:ascii="Times New Roman" w:eastAsia="Times New Roman" w:hAnsi="Times New Roman"/>
      <w:sz w:val="24"/>
      <w:szCs w:val="24"/>
      <w:lang w:val="en-US"/>
    </w:rPr>
  </w:style>
  <w:style w:type="paragraph" w:customStyle="1" w:styleId="coj-count">
    <w:name w:val="coj-count"/>
    <w:basedOn w:val="prastasis"/>
    <w:rsid w:val="007566FC"/>
    <w:pPr>
      <w:spacing w:before="100" w:beforeAutospacing="1" w:after="100" w:afterAutospacing="1"/>
      <w:jc w:val="left"/>
    </w:pPr>
    <w:rPr>
      <w:rFonts w:ascii="Times New Roman" w:eastAsia="Times New Roman" w:hAnsi="Times New Roman"/>
      <w:sz w:val="24"/>
      <w:szCs w:val="24"/>
      <w:lang w:val="en-US"/>
    </w:rPr>
  </w:style>
  <w:style w:type="character" w:customStyle="1" w:styleId="coj-bold">
    <w:name w:val="coj-bold"/>
    <w:basedOn w:val="Numatytasispastraiposriftas"/>
    <w:rsid w:val="007566FC"/>
  </w:style>
  <w:style w:type="paragraph" w:customStyle="1" w:styleId="paragraph">
    <w:name w:val="paragraph"/>
    <w:basedOn w:val="prastasis"/>
    <w:rsid w:val="007566FC"/>
    <w:pPr>
      <w:spacing w:before="100" w:beforeAutospacing="1" w:after="100" w:afterAutospacing="1"/>
      <w:jc w:val="left"/>
    </w:pPr>
    <w:rPr>
      <w:rFonts w:ascii="Times New Roman" w:eastAsia="Times New Roman" w:hAnsi="Times New Roman"/>
      <w:sz w:val="24"/>
      <w:szCs w:val="24"/>
      <w:lang w:val="en-US"/>
    </w:rPr>
  </w:style>
  <w:style w:type="paragraph" w:customStyle="1" w:styleId="c73alineacentregras">
    <w:name w:val="c73alineacentregras"/>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40titregras">
    <w:name w:val="c40titregras"/>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35motclenumerote">
    <w:name w:val="c35motclenumerote"/>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37motclefinretrait1">
    <w:name w:val="c37motclefinretrait1"/>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36renvoi2">
    <w:name w:val="c36renvoi2"/>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72alineadroite">
    <w:name w:val="c72alineadroite"/>
    <w:basedOn w:val="prastasis"/>
    <w:rsid w:val="005854A3"/>
    <w:pPr>
      <w:spacing w:before="100" w:beforeAutospacing="1" w:after="100" w:afterAutospacing="1"/>
      <w:jc w:val="left"/>
    </w:pPr>
    <w:rPr>
      <w:rFonts w:ascii="Times New Roman" w:eastAsia="Times New Roman" w:hAnsi="Times New Roman"/>
      <w:sz w:val="24"/>
      <w:szCs w:val="24"/>
      <w:lang w:eastAsia="lt-LT"/>
    </w:rPr>
  </w:style>
  <w:style w:type="character" w:styleId="Neapdorotaspaminjimas">
    <w:name w:val="Unresolved Mention"/>
    <w:basedOn w:val="Numatytasispastraiposriftas"/>
    <w:uiPriority w:val="99"/>
    <w:semiHidden/>
    <w:unhideWhenUsed/>
    <w:rsid w:val="00DC60D8"/>
    <w:rPr>
      <w:color w:val="605E5C"/>
      <w:shd w:val="clear" w:color="auto" w:fill="E1DFDD"/>
    </w:rPr>
  </w:style>
  <w:style w:type="character" w:customStyle="1" w:styleId="apple-converted-space">
    <w:name w:val="apple-converted-space"/>
    <w:basedOn w:val="Numatytasispastraiposriftas"/>
    <w:rsid w:val="006C6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7606">
      <w:bodyDiv w:val="1"/>
      <w:marLeft w:val="0"/>
      <w:marRight w:val="0"/>
      <w:marTop w:val="0"/>
      <w:marBottom w:val="0"/>
      <w:divBdr>
        <w:top w:val="none" w:sz="0" w:space="0" w:color="auto"/>
        <w:left w:val="none" w:sz="0" w:space="0" w:color="auto"/>
        <w:bottom w:val="none" w:sz="0" w:space="0" w:color="auto"/>
        <w:right w:val="none" w:sz="0" w:space="0" w:color="auto"/>
      </w:divBdr>
      <w:divsChild>
        <w:div w:id="461579997">
          <w:marLeft w:val="0"/>
          <w:marRight w:val="0"/>
          <w:marTop w:val="0"/>
          <w:marBottom w:val="0"/>
          <w:divBdr>
            <w:top w:val="none" w:sz="0" w:space="0" w:color="auto"/>
            <w:left w:val="none" w:sz="0" w:space="0" w:color="auto"/>
            <w:bottom w:val="none" w:sz="0" w:space="0" w:color="auto"/>
            <w:right w:val="none" w:sz="0" w:space="0" w:color="auto"/>
          </w:divBdr>
          <w:divsChild>
            <w:div w:id="58210719">
              <w:marLeft w:val="0"/>
              <w:marRight w:val="0"/>
              <w:marTop w:val="0"/>
              <w:marBottom w:val="0"/>
              <w:divBdr>
                <w:top w:val="none" w:sz="0" w:space="0" w:color="auto"/>
                <w:left w:val="none" w:sz="0" w:space="0" w:color="auto"/>
                <w:bottom w:val="none" w:sz="0" w:space="0" w:color="auto"/>
                <w:right w:val="none" w:sz="0" w:space="0" w:color="auto"/>
              </w:divBdr>
              <w:divsChild>
                <w:div w:id="1233849058">
                  <w:marLeft w:val="0"/>
                  <w:marRight w:val="0"/>
                  <w:marTop w:val="0"/>
                  <w:marBottom w:val="0"/>
                  <w:divBdr>
                    <w:top w:val="none" w:sz="0" w:space="0" w:color="auto"/>
                    <w:left w:val="none" w:sz="0" w:space="0" w:color="auto"/>
                    <w:bottom w:val="none" w:sz="0" w:space="0" w:color="auto"/>
                    <w:right w:val="none" w:sz="0" w:space="0" w:color="auto"/>
                  </w:divBdr>
                  <w:divsChild>
                    <w:div w:id="7405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84627">
      <w:bodyDiv w:val="1"/>
      <w:marLeft w:val="0"/>
      <w:marRight w:val="0"/>
      <w:marTop w:val="0"/>
      <w:marBottom w:val="0"/>
      <w:divBdr>
        <w:top w:val="none" w:sz="0" w:space="0" w:color="auto"/>
        <w:left w:val="none" w:sz="0" w:space="0" w:color="auto"/>
        <w:bottom w:val="none" w:sz="0" w:space="0" w:color="auto"/>
        <w:right w:val="none" w:sz="0" w:space="0" w:color="auto"/>
      </w:divBdr>
      <w:divsChild>
        <w:div w:id="525144919">
          <w:marLeft w:val="0"/>
          <w:marRight w:val="0"/>
          <w:marTop w:val="0"/>
          <w:marBottom w:val="0"/>
          <w:divBdr>
            <w:top w:val="none" w:sz="0" w:space="0" w:color="auto"/>
            <w:left w:val="none" w:sz="0" w:space="0" w:color="auto"/>
            <w:bottom w:val="none" w:sz="0" w:space="0" w:color="auto"/>
            <w:right w:val="none" w:sz="0" w:space="0" w:color="auto"/>
          </w:divBdr>
          <w:divsChild>
            <w:div w:id="1139155888">
              <w:marLeft w:val="0"/>
              <w:marRight w:val="0"/>
              <w:marTop w:val="0"/>
              <w:marBottom w:val="0"/>
              <w:divBdr>
                <w:top w:val="none" w:sz="0" w:space="0" w:color="auto"/>
                <w:left w:val="none" w:sz="0" w:space="0" w:color="auto"/>
                <w:bottom w:val="none" w:sz="0" w:space="0" w:color="auto"/>
                <w:right w:val="none" w:sz="0" w:space="0" w:color="auto"/>
              </w:divBdr>
              <w:divsChild>
                <w:div w:id="325405987">
                  <w:marLeft w:val="0"/>
                  <w:marRight w:val="0"/>
                  <w:marTop w:val="0"/>
                  <w:marBottom w:val="0"/>
                  <w:divBdr>
                    <w:top w:val="none" w:sz="0" w:space="0" w:color="auto"/>
                    <w:left w:val="none" w:sz="0" w:space="0" w:color="auto"/>
                    <w:bottom w:val="none" w:sz="0" w:space="0" w:color="auto"/>
                    <w:right w:val="none" w:sz="0" w:space="0" w:color="auto"/>
                  </w:divBdr>
                  <w:divsChild>
                    <w:div w:id="786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83752">
      <w:bodyDiv w:val="1"/>
      <w:marLeft w:val="0"/>
      <w:marRight w:val="0"/>
      <w:marTop w:val="0"/>
      <w:marBottom w:val="0"/>
      <w:divBdr>
        <w:top w:val="none" w:sz="0" w:space="0" w:color="auto"/>
        <w:left w:val="none" w:sz="0" w:space="0" w:color="auto"/>
        <w:bottom w:val="none" w:sz="0" w:space="0" w:color="auto"/>
        <w:right w:val="none" w:sz="0" w:space="0" w:color="auto"/>
      </w:divBdr>
    </w:div>
    <w:div w:id="214122427">
      <w:bodyDiv w:val="1"/>
      <w:marLeft w:val="0"/>
      <w:marRight w:val="0"/>
      <w:marTop w:val="0"/>
      <w:marBottom w:val="0"/>
      <w:divBdr>
        <w:top w:val="none" w:sz="0" w:space="0" w:color="auto"/>
        <w:left w:val="none" w:sz="0" w:space="0" w:color="auto"/>
        <w:bottom w:val="none" w:sz="0" w:space="0" w:color="auto"/>
        <w:right w:val="none" w:sz="0" w:space="0" w:color="auto"/>
      </w:divBdr>
    </w:div>
    <w:div w:id="236208917">
      <w:bodyDiv w:val="1"/>
      <w:marLeft w:val="0"/>
      <w:marRight w:val="0"/>
      <w:marTop w:val="0"/>
      <w:marBottom w:val="0"/>
      <w:divBdr>
        <w:top w:val="none" w:sz="0" w:space="0" w:color="auto"/>
        <w:left w:val="none" w:sz="0" w:space="0" w:color="auto"/>
        <w:bottom w:val="none" w:sz="0" w:space="0" w:color="auto"/>
        <w:right w:val="none" w:sz="0" w:space="0" w:color="auto"/>
      </w:divBdr>
    </w:div>
    <w:div w:id="287931823">
      <w:bodyDiv w:val="1"/>
      <w:marLeft w:val="0"/>
      <w:marRight w:val="0"/>
      <w:marTop w:val="0"/>
      <w:marBottom w:val="0"/>
      <w:divBdr>
        <w:top w:val="none" w:sz="0" w:space="0" w:color="auto"/>
        <w:left w:val="none" w:sz="0" w:space="0" w:color="auto"/>
        <w:bottom w:val="none" w:sz="0" w:space="0" w:color="auto"/>
        <w:right w:val="none" w:sz="0" w:space="0" w:color="auto"/>
      </w:divBdr>
    </w:div>
    <w:div w:id="294801068">
      <w:bodyDiv w:val="1"/>
      <w:marLeft w:val="0"/>
      <w:marRight w:val="0"/>
      <w:marTop w:val="0"/>
      <w:marBottom w:val="0"/>
      <w:divBdr>
        <w:top w:val="none" w:sz="0" w:space="0" w:color="auto"/>
        <w:left w:val="none" w:sz="0" w:space="0" w:color="auto"/>
        <w:bottom w:val="none" w:sz="0" w:space="0" w:color="auto"/>
        <w:right w:val="none" w:sz="0" w:space="0" w:color="auto"/>
      </w:divBdr>
    </w:div>
    <w:div w:id="397486390">
      <w:bodyDiv w:val="1"/>
      <w:marLeft w:val="0"/>
      <w:marRight w:val="0"/>
      <w:marTop w:val="0"/>
      <w:marBottom w:val="0"/>
      <w:divBdr>
        <w:top w:val="none" w:sz="0" w:space="0" w:color="auto"/>
        <w:left w:val="none" w:sz="0" w:space="0" w:color="auto"/>
        <w:bottom w:val="none" w:sz="0" w:space="0" w:color="auto"/>
        <w:right w:val="none" w:sz="0" w:space="0" w:color="auto"/>
      </w:divBdr>
    </w:div>
    <w:div w:id="426736280">
      <w:bodyDiv w:val="1"/>
      <w:marLeft w:val="0"/>
      <w:marRight w:val="0"/>
      <w:marTop w:val="0"/>
      <w:marBottom w:val="0"/>
      <w:divBdr>
        <w:top w:val="none" w:sz="0" w:space="0" w:color="auto"/>
        <w:left w:val="none" w:sz="0" w:space="0" w:color="auto"/>
        <w:bottom w:val="none" w:sz="0" w:space="0" w:color="auto"/>
        <w:right w:val="none" w:sz="0" w:space="0" w:color="auto"/>
      </w:divBdr>
    </w:div>
    <w:div w:id="487134859">
      <w:bodyDiv w:val="1"/>
      <w:marLeft w:val="0"/>
      <w:marRight w:val="0"/>
      <w:marTop w:val="0"/>
      <w:marBottom w:val="0"/>
      <w:divBdr>
        <w:top w:val="none" w:sz="0" w:space="0" w:color="auto"/>
        <w:left w:val="none" w:sz="0" w:space="0" w:color="auto"/>
        <w:bottom w:val="none" w:sz="0" w:space="0" w:color="auto"/>
        <w:right w:val="none" w:sz="0" w:space="0" w:color="auto"/>
      </w:divBdr>
    </w:div>
    <w:div w:id="520240898">
      <w:bodyDiv w:val="1"/>
      <w:marLeft w:val="0"/>
      <w:marRight w:val="0"/>
      <w:marTop w:val="0"/>
      <w:marBottom w:val="0"/>
      <w:divBdr>
        <w:top w:val="none" w:sz="0" w:space="0" w:color="auto"/>
        <w:left w:val="none" w:sz="0" w:space="0" w:color="auto"/>
        <w:bottom w:val="none" w:sz="0" w:space="0" w:color="auto"/>
        <w:right w:val="none" w:sz="0" w:space="0" w:color="auto"/>
      </w:divBdr>
    </w:div>
    <w:div w:id="523206630">
      <w:bodyDiv w:val="1"/>
      <w:marLeft w:val="0"/>
      <w:marRight w:val="0"/>
      <w:marTop w:val="0"/>
      <w:marBottom w:val="0"/>
      <w:divBdr>
        <w:top w:val="none" w:sz="0" w:space="0" w:color="auto"/>
        <w:left w:val="none" w:sz="0" w:space="0" w:color="auto"/>
        <w:bottom w:val="none" w:sz="0" w:space="0" w:color="auto"/>
        <w:right w:val="none" w:sz="0" w:space="0" w:color="auto"/>
      </w:divBdr>
    </w:div>
    <w:div w:id="564684489">
      <w:bodyDiv w:val="1"/>
      <w:marLeft w:val="0"/>
      <w:marRight w:val="0"/>
      <w:marTop w:val="0"/>
      <w:marBottom w:val="0"/>
      <w:divBdr>
        <w:top w:val="none" w:sz="0" w:space="0" w:color="auto"/>
        <w:left w:val="none" w:sz="0" w:space="0" w:color="auto"/>
        <w:bottom w:val="none" w:sz="0" w:space="0" w:color="auto"/>
        <w:right w:val="none" w:sz="0" w:space="0" w:color="auto"/>
      </w:divBdr>
    </w:div>
    <w:div w:id="647321137">
      <w:bodyDiv w:val="1"/>
      <w:marLeft w:val="0"/>
      <w:marRight w:val="0"/>
      <w:marTop w:val="0"/>
      <w:marBottom w:val="0"/>
      <w:divBdr>
        <w:top w:val="none" w:sz="0" w:space="0" w:color="auto"/>
        <w:left w:val="none" w:sz="0" w:space="0" w:color="auto"/>
        <w:bottom w:val="none" w:sz="0" w:space="0" w:color="auto"/>
        <w:right w:val="none" w:sz="0" w:space="0" w:color="auto"/>
      </w:divBdr>
    </w:div>
    <w:div w:id="659894173">
      <w:bodyDiv w:val="1"/>
      <w:marLeft w:val="0"/>
      <w:marRight w:val="0"/>
      <w:marTop w:val="0"/>
      <w:marBottom w:val="0"/>
      <w:divBdr>
        <w:top w:val="none" w:sz="0" w:space="0" w:color="auto"/>
        <w:left w:val="none" w:sz="0" w:space="0" w:color="auto"/>
        <w:bottom w:val="none" w:sz="0" w:space="0" w:color="auto"/>
        <w:right w:val="none" w:sz="0" w:space="0" w:color="auto"/>
      </w:divBdr>
    </w:div>
    <w:div w:id="717625852">
      <w:bodyDiv w:val="1"/>
      <w:marLeft w:val="0"/>
      <w:marRight w:val="0"/>
      <w:marTop w:val="0"/>
      <w:marBottom w:val="0"/>
      <w:divBdr>
        <w:top w:val="none" w:sz="0" w:space="0" w:color="auto"/>
        <w:left w:val="none" w:sz="0" w:space="0" w:color="auto"/>
        <w:bottom w:val="none" w:sz="0" w:space="0" w:color="auto"/>
        <w:right w:val="none" w:sz="0" w:space="0" w:color="auto"/>
      </w:divBdr>
    </w:div>
    <w:div w:id="765728824">
      <w:bodyDiv w:val="1"/>
      <w:marLeft w:val="0"/>
      <w:marRight w:val="0"/>
      <w:marTop w:val="0"/>
      <w:marBottom w:val="0"/>
      <w:divBdr>
        <w:top w:val="none" w:sz="0" w:space="0" w:color="auto"/>
        <w:left w:val="none" w:sz="0" w:space="0" w:color="auto"/>
        <w:bottom w:val="none" w:sz="0" w:space="0" w:color="auto"/>
        <w:right w:val="none" w:sz="0" w:space="0" w:color="auto"/>
      </w:divBdr>
    </w:div>
    <w:div w:id="792014338">
      <w:bodyDiv w:val="1"/>
      <w:marLeft w:val="0"/>
      <w:marRight w:val="0"/>
      <w:marTop w:val="0"/>
      <w:marBottom w:val="0"/>
      <w:divBdr>
        <w:top w:val="none" w:sz="0" w:space="0" w:color="auto"/>
        <w:left w:val="none" w:sz="0" w:space="0" w:color="auto"/>
        <w:bottom w:val="none" w:sz="0" w:space="0" w:color="auto"/>
        <w:right w:val="none" w:sz="0" w:space="0" w:color="auto"/>
      </w:divBdr>
    </w:div>
    <w:div w:id="801920379">
      <w:bodyDiv w:val="1"/>
      <w:marLeft w:val="0"/>
      <w:marRight w:val="0"/>
      <w:marTop w:val="0"/>
      <w:marBottom w:val="0"/>
      <w:divBdr>
        <w:top w:val="none" w:sz="0" w:space="0" w:color="auto"/>
        <w:left w:val="none" w:sz="0" w:space="0" w:color="auto"/>
        <w:bottom w:val="none" w:sz="0" w:space="0" w:color="auto"/>
        <w:right w:val="none" w:sz="0" w:space="0" w:color="auto"/>
      </w:divBdr>
    </w:div>
    <w:div w:id="814101611">
      <w:bodyDiv w:val="1"/>
      <w:marLeft w:val="0"/>
      <w:marRight w:val="0"/>
      <w:marTop w:val="0"/>
      <w:marBottom w:val="0"/>
      <w:divBdr>
        <w:top w:val="none" w:sz="0" w:space="0" w:color="auto"/>
        <w:left w:val="none" w:sz="0" w:space="0" w:color="auto"/>
        <w:bottom w:val="none" w:sz="0" w:space="0" w:color="auto"/>
        <w:right w:val="none" w:sz="0" w:space="0" w:color="auto"/>
      </w:divBdr>
    </w:div>
    <w:div w:id="880047707">
      <w:bodyDiv w:val="1"/>
      <w:marLeft w:val="0"/>
      <w:marRight w:val="0"/>
      <w:marTop w:val="0"/>
      <w:marBottom w:val="0"/>
      <w:divBdr>
        <w:top w:val="none" w:sz="0" w:space="0" w:color="auto"/>
        <w:left w:val="none" w:sz="0" w:space="0" w:color="auto"/>
        <w:bottom w:val="none" w:sz="0" w:space="0" w:color="auto"/>
        <w:right w:val="none" w:sz="0" w:space="0" w:color="auto"/>
      </w:divBdr>
    </w:div>
    <w:div w:id="886910749">
      <w:bodyDiv w:val="1"/>
      <w:marLeft w:val="0"/>
      <w:marRight w:val="0"/>
      <w:marTop w:val="0"/>
      <w:marBottom w:val="0"/>
      <w:divBdr>
        <w:top w:val="none" w:sz="0" w:space="0" w:color="auto"/>
        <w:left w:val="none" w:sz="0" w:space="0" w:color="auto"/>
        <w:bottom w:val="none" w:sz="0" w:space="0" w:color="auto"/>
        <w:right w:val="none" w:sz="0" w:space="0" w:color="auto"/>
      </w:divBdr>
    </w:div>
    <w:div w:id="900481758">
      <w:bodyDiv w:val="1"/>
      <w:marLeft w:val="0"/>
      <w:marRight w:val="0"/>
      <w:marTop w:val="0"/>
      <w:marBottom w:val="0"/>
      <w:divBdr>
        <w:top w:val="none" w:sz="0" w:space="0" w:color="auto"/>
        <w:left w:val="none" w:sz="0" w:space="0" w:color="auto"/>
        <w:bottom w:val="none" w:sz="0" w:space="0" w:color="auto"/>
        <w:right w:val="none" w:sz="0" w:space="0" w:color="auto"/>
      </w:divBdr>
    </w:div>
    <w:div w:id="941911367">
      <w:bodyDiv w:val="1"/>
      <w:marLeft w:val="0"/>
      <w:marRight w:val="0"/>
      <w:marTop w:val="0"/>
      <w:marBottom w:val="0"/>
      <w:divBdr>
        <w:top w:val="none" w:sz="0" w:space="0" w:color="auto"/>
        <w:left w:val="none" w:sz="0" w:space="0" w:color="auto"/>
        <w:bottom w:val="none" w:sz="0" w:space="0" w:color="auto"/>
        <w:right w:val="none" w:sz="0" w:space="0" w:color="auto"/>
      </w:divBdr>
    </w:div>
    <w:div w:id="956792430">
      <w:bodyDiv w:val="1"/>
      <w:marLeft w:val="0"/>
      <w:marRight w:val="0"/>
      <w:marTop w:val="0"/>
      <w:marBottom w:val="0"/>
      <w:divBdr>
        <w:top w:val="none" w:sz="0" w:space="0" w:color="auto"/>
        <w:left w:val="none" w:sz="0" w:space="0" w:color="auto"/>
        <w:bottom w:val="none" w:sz="0" w:space="0" w:color="auto"/>
        <w:right w:val="none" w:sz="0" w:space="0" w:color="auto"/>
      </w:divBdr>
    </w:div>
    <w:div w:id="981883181">
      <w:bodyDiv w:val="1"/>
      <w:marLeft w:val="0"/>
      <w:marRight w:val="0"/>
      <w:marTop w:val="0"/>
      <w:marBottom w:val="0"/>
      <w:divBdr>
        <w:top w:val="none" w:sz="0" w:space="0" w:color="auto"/>
        <w:left w:val="none" w:sz="0" w:space="0" w:color="auto"/>
        <w:bottom w:val="none" w:sz="0" w:space="0" w:color="auto"/>
        <w:right w:val="none" w:sz="0" w:space="0" w:color="auto"/>
      </w:divBdr>
    </w:div>
    <w:div w:id="1002705390">
      <w:bodyDiv w:val="1"/>
      <w:marLeft w:val="0"/>
      <w:marRight w:val="0"/>
      <w:marTop w:val="0"/>
      <w:marBottom w:val="0"/>
      <w:divBdr>
        <w:top w:val="none" w:sz="0" w:space="0" w:color="auto"/>
        <w:left w:val="none" w:sz="0" w:space="0" w:color="auto"/>
        <w:bottom w:val="none" w:sz="0" w:space="0" w:color="auto"/>
        <w:right w:val="none" w:sz="0" w:space="0" w:color="auto"/>
      </w:divBdr>
    </w:div>
    <w:div w:id="1025911159">
      <w:bodyDiv w:val="1"/>
      <w:marLeft w:val="0"/>
      <w:marRight w:val="0"/>
      <w:marTop w:val="0"/>
      <w:marBottom w:val="0"/>
      <w:divBdr>
        <w:top w:val="none" w:sz="0" w:space="0" w:color="auto"/>
        <w:left w:val="none" w:sz="0" w:space="0" w:color="auto"/>
        <w:bottom w:val="none" w:sz="0" w:space="0" w:color="auto"/>
        <w:right w:val="none" w:sz="0" w:space="0" w:color="auto"/>
      </w:divBdr>
    </w:div>
    <w:div w:id="1043946445">
      <w:bodyDiv w:val="1"/>
      <w:marLeft w:val="0"/>
      <w:marRight w:val="0"/>
      <w:marTop w:val="0"/>
      <w:marBottom w:val="0"/>
      <w:divBdr>
        <w:top w:val="none" w:sz="0" w:space="0" w:color="auto"/>
        <w:left w:val="none" w:sz="0" w:space="0" w:color="auto"/>
        <w:bottom w:val="none" w:sz="0" w:space="0" w:color="auto"/>
        <w:right w:val="none" w:sz="0" w:space="0" w:color="auto"/>
      </w:divBdr>
    </w:div>
    <w:div w:id="1046300932">
      <w:bodyDiv w:val="1"/>
      <w:marLeft w:val="0"/>
      <w:marRight w:val="0"/>
      <w:marTop w:val="0"/>
      <w:marBottom w:val="0"/>
      <w:divBdr>
        <w:top w:val="none" w:sz="0" w:space="0" w:color="auto"/>
        <w:left w:val="none" w:sz="0" w:space="0" w:color="auto"/>
        <w:bottom w:val="none" w:sz="0" w:space="0" w:color="auto"/>
        <w:right w:val="none" w:sz="0" w:space="0" w:color="auto"/>
      </w:divBdr>
    </w:div>
    <w:div w:id="1074930723">
      <w:bodyDiv w:val="1"/>
      <w:marLeft w:val="0"/>
      <w:marRight w:val="0"/>
      <w:marTop w:val="0"/>
      <w:marBottom w:val="0"/>
      <w:divBdr>
        <w:top w:val="none" w:sz="0" w:space="0" w:color="auto"/>
        <w:left w:val="none" w:sz="0" w:space="0" w:color="auto"/>
        <w:bottom w:val="none" w:sz="0" w:space="0" w:color="auto"/>
        <w:right w:val="none" w:sz="0" w:space="0" w:color="auto"/>
      </w:divBdr>
    </w:div>
    <w:div w:id="1083798587">
      <w:bodyDiv w:val="1"/>
      <w:marLeft w:val="0"/>
      <w:marRight w:val="0"/>
      <w:marTop w:val="0"/>
      <w:marBottom w:val="0"/>
      <w:divBdr>
        <w:top w:val="none" w:sz="0" w:space="0" w:color="auto"/>
        <w:left w:val="none" w:sz="0" w:space="0" w:color="auto"/>
        <w:bottom w:val="none" w:sz="0" w:space="0" w:color="auto"/>
        <w:right w:val="none" w:sz="0" w:space="0" w:color="auto"/>
      </w:divBdr>
    </w:div>
    <w:div w:id="1108964417">
      <w:bodyDiv w:val="1"/>
      <w:marLeft w:val="0"/>
      <w:marRight w:val="0"/>
      <w:marTop w:val="0"/>
      <w:marBottom w:val="0"/>
      <w:divBdr>
        <w:top w:val="none" w:sz="0" w:space="0" w:color="auto"/>
        <w:left w:val="none" w:sz="0" w:space="0" w:color="auto"/>
        <w:bottom w:val="none" w:sz="0" w:space="0" w:color="auto"/>
        <w:right w:val="none" w:sz="0" w:space="0" w:color="auto"/>
      </w:divBdr>
    </w:div>
    <w:div w:id="1197043537">
      <w:bodyDiv w:val="1"/>
      <w:marLeft w:val="0"/>
      <w:marRight w:val="0"/>
      <w:marTop w:val="0"/>
      <w:marBottom w:val="0"/>
      <w:divBdr>
        <w:top w:val="none" w:sz="0" w:space="0" w:color="auto"/>
        <w:left w:val="none" w:sz="0" w:space="0" w:color="auto"/>
        <w:bottom w:val="none" w:sz="0" w:space="0" w:color="auto"/>
        <w:right w:val="none" w:sz="0" w:space="0" w:color="auto"/>
      </w:divBdr>
    </w:div>
    <w:div w:id="1237789845">
      <w:bodyDiv w:val="1"/>
      <w:marLeft w:val="0"/>
      <w:marRight w:val="0"/>
      <w:marTop w:val="0"/>
      <w:marBottom w:val="0"/>
      <w:divBdr>
        <w:top w:val="none" w:sz="0" w:space="0" w:color="auto"/>
        <w:left w:val="none" w:sz="0" w:space="0" w:color="auto"/>
        <w:bottom w:val="none" w:sz="0" w:space="0" w:color="auto"/>
        <w:right w:val="none" w:sz="0" w:space="0" w:color="auto"/>
      </w:divBdr>
    </w:div>
    <w:div w:id="1264261275">
      <w:bodyDiv w:val="1"/>
      <w:marLeft w:val="0"/>
      <w:marRight w:val="0"/>
      <w:marTop w:val="0"/>
      <w:marBottom w:val="0"/>
      <w:divBdr>
        <w:top w:val="none" w:sz="0" w:space="0" w:color="auto"/>
        <w:left w:val="none" w:sz="0" w:space="0" w:color="auto"/>
        <w:bottom w:val="none" w:sz="0" w:space="0" w:color="auto"/>
        <w:right w:val="none" w:sz="0" w:space="0" w:color="auto"/>
      </w:divBdr>
    </w:div>
    <w:div w:id="1353149326">
      <w:bodyDiv w:val="1"/>
      <w:marLeft w:val="0"/>
      <w:marRight w:val="0"/>
      <w:marTop w:val="0"/>
      <w:marBottom w:val="0"/>
      <w:divBdr>
        <w:top w:val="none" w:sz="0" w:space="0" w:color="auto"/>
        <w:left w:val="none" w:sz="0" w:space="0" w:color="auto"/>
        <w:bottom w:val="none" w:sz="0" w:space="0" w:color="auto"/>
        <w:right w:val="none" w:sz="0" w:space="0" w:color="auto"/>
      </w:divBdr>
    </w:div>
    <w:div w:id="1370953187">
      <w:bodyDiv w:val="1"/>
      <w:marLeft w:val="0"/>
      <w:marRight w:val="0"/>
      <w:marTop w:val="0"/>
      <w:marBottom w:val="0"/>
      <w:divBdr>
        <w:top w:val="none" w:sz="0" w:space="0" w:color="auto"/>
        <w:left w:val="none" w:sz="0" w:space="0" w:color="auto"/>
        <w:bottom w:val="none" w:sz="0" w:space="0" w:color="auto"/>
        <w:right w:val="none" w:sz="0" w:space="0" w:color="auto"/>
      </w:divBdr>
    </w:div>
    <w:div w:id="1384717203">
      <w:bodyDiv w:val="1"/>
      <w:marLeft w:val="0"/>
      <w:marRight w:val="0"/>
      <w:marTop w:val="0"/>
      <w:marBottom w:val="0"/>
      <w:divBdr>
        <w:top w:val="none" w:sz="0" w:space="0" w:color="auto"/>
        <w:left w:val="none" w:sz="0" w:space="0" w:color="auto"/>
        <w:bottom w:val="none" w:sz="0" w:space="0" w:color="auto"/>
        <w:right w:val="none" w:sz="0" w:space="0" w:color="auto"/>
      </w:divBdr>
    </w:div>
    <w:div w:id="1436049740">
      <w:bodyDiv w:val="1"/>
      <w:marLeft w:val="0"/>
      <w:marRight w:val="0"/>
      <w:marTop w:val="0"/>
      <w:marBottom w:val="0"/>
      <w:divBdr>
        <w:top w:val="none" w:sz="0" w:space="0" w:color="auto"/>
        <w:left w:val="none" w:sz="0" w:space="0" w:color="auto"/>
        <w:bottom w:val="none" w:sz="0" w:space="0" w:color="auto"/>
        <w:right w:val="none" w:sz="0" w:space="0" w:color="auto"/>
      </w:divBdr>
    </w:div>
    <w:div w:id="1451709242">
      <w:bodyDiv w:val="1"/>
      <w:marLeft w:val="0"/>
      <w:marRight w:val="0"/>
      <w:marTop w:val="0"/>
      <w:marBottom w:val="0"/>
      <w:divBdr>
        <w:top w:val="none" w:sz="0" w:space="0" w:color="auto"/>
        <w:left w:val="none" w:sz="0" w:space="0" w:color="auto"/>
        <w:bottom w:val="none" w:sz="0" w:space="0" w:color="auto"/>
        <w:right w:val="none" w:sz="0" w:space="0" w:color="auto"/>
      </w:divBdr>
    </w:div>
    <w:div w:id="1472593990">
      <w:bodyDiv w:val="1"/>
      <w:marLeft w:val="0"/>
      <w:marRight w:val="0"/>
      <w:marTop w:val="0"/>
      <w:marBottom w:val="0"/>
      <w:divBdr>
        <w:top w:val="none" w:sz="0" w:space="0" w:color="auto"/>
        <w:left w:val="none" w:sz="0" w:space="0" w:color="auto"/>
        <w:bottom w:val="none" w:sz="0" w:space="0" w:color="auto"/>
        <w:right w:val="none" w:sz="0" w:space="0" w:color="auto"/>
      </w:divBdr>
    </w:div>
    <w:div w:id="1538196767">
      <w:bodyDiv w:val="1"/>
      <w:marLeft w:val="0"/>
      <w:marRight w:val="0"/>
      <w:marTop w:val="0"/>
      <w:marBottom w:val="0"/>
      <w:divBdr>
        <w:top w:val="none" w:sz="0" w:space="0" w:color="auto"/>
        <w:left w:val="none" w:sz="0" w:space="0" w:color="auto"/>
        <w:bottom w:val="none" w:sz="0" w:space="0" w:color="auto"/>
        <w:right w:val="none" w:sz="0" w:space="0" w:color="auto"/>
      </w:divBdr>
    </w:div>
    <w:div w:id="1611206177">
      <w:bodyDiv w:val="1"/>
      <w:marLeft w:val="0"/>
      <w:marRight w:val="0"/>
      <w:marTop w:val="0"/>
      <w:marBottom w:val="0"/>
      <w:divBdr>
        <w:top w:val="none" w:sz="0" w:space="0" w:color="auto"/>
        <w:left w:val="none" w:sz="0" w:space="0" w:color="auto"/>
        <w:bottom w:val="none" w:sz="0" w:space="0" w:color="auto"/>
        <w:right w:val="none" w:sz="0" w:space="0" w:color="auto"/>
      </w:divBdr>
    </w:div>
    <w:div w:id="1691642934">
      <w:bodyDiv w:val="1"/>
      <w:marLeft w:val="0"/>
      <w:marRight w:val="0"/>
      <w:marTop w:val="0"/>
      <w:marBottom w:val="0"/>
      <w:divBdr>
        <w:top w:val="none" w:sz="0" w:space="0" w:color="auto"/>
        <w:left w:val="none" w:sz="0" w:space="0" w:color="auto"/>
        <w:bottom w:val="none" w:sz="0" w:space="0" w:color="auto"/>
        <w:right w:val="none" w:sz="0" w:space="0" w:color="auto"/>
      </w:divBdr>
    </w:div>
    <w:div w:id="1702512669">
      <w:bodyDiv w:val="1"/>
      <w:marLeft w:val="0"/>
      <w:marRight w:val="0"/>
      <w:marTop w:val="0"/>
      <w:marBottom w:val="0"/>
      <w:divBdr>
        <w:top w:val="none" w:sz="0" w:space="0" w:color="auto"/>
        <w:left w:val="none" w:sz="0" w:space="0" w:color="auto"/>
        <w:bottom w:val="none" w:sz="0" w:space="0" w:color="auto"/>
        <w:right w:val="none" w:sz="0" w:space="0" w:color="auto"/>
      </w:divBdr>
    </w:div>
    <w:div w:id="1767072060">
      <w:bodyDiv w:val="1"/>
      <w:marLeft w:val="0"/>
      <w:marRight w:val="0"/>
      <w:marTop w:val="0"/>
      <w:marBottom w:val="0"/>
      <w:divBdr>
        <w:top w:val="none" w:sz="0" w:space="0" w:color="auto"/>
        <w:left w:val="none" w:sz="0" w:space="0" w:color="auto"/>
        <w:bottom w:val="none" w:sz="0" w:space="0" w:color="auto"/>
        <w:right w:val="none" w:sz="0" w:space="0" w:color="auto"/>
      </w:divBdr>
    </w:div>
    <w:div w:id="1825464933">
      <w:bodyDiv w:val="1"/>
      <w:marLeft w:val="0"/>
      <w:marRight w:val="0"/>
      <w:marTop w:val="0"/>
      <w:marBottom w:val="0"/>
      <w:divBdr>
        <w:top w:val="none" w:sz="0" w:space="0" w:color="auto"/>
        <w:left w:val="none" w:sz="0" w:space="0" w:color="auto"/>
        <w:bottom w:val="none" w:sz="0" w:space="0" w:color="auto"/>
        <w:right w:val="none" w:sz="0" w:space="0" w:color="auto"/>
      </w:divBdr>
    </w:div>
    <w:div w:id="1854301519">
      <w:bodyDiv w:val="1"/>
      <w:marLeft w:val="0"/>
      <w:marRight w:val="0"/>
      <w:marTop w:val="0"/>
      <w:marBottom w:val="0"/>
      <w:divBdr>
        <w:top w:val="none" w:sz="0" w:space="0" w:color="auto"/>
        <w:left w:val="none" w:sz="0" w:space="0" w:color="auto"/>
        <w:bottom w:val="none" w:sz="0" w:space="0" w:color="auto"/>
        <w:right w:val="none" w:sz="0" w:space="0" w:color="auto"/>
      </w:divBdr>
    </w:div>
    <w:div w:id="1875849014">
      <w:bodyDiv w:val="1"/>
      <w:marLeft w:val="0"/>
      <w:marRight w:val="0"/>
      <w:marTop w:val="0"/>
      <w:marBottom w:val="0"/>
      <w:divBdr>
        <w:top w:val="none" w:sz="0" w:space="0" w:color="auto"/>
        <w:left w:val="none" w:sz="0" w:space="0" w:color="auto"/>
        <w:bottom w:val="none" w:sz="0" w:space="0" w:color="auto"/>
        <w:right w:val="none" w:sz="0" w:space="0" w:color="auto"/>
      </w:divBdr>
    </w:div>
    <w:div w:id="1888298363">
      <w:bodyDiv w:val="1"/>
      <w:marLeft w:val="0"/>
      <w:marRight w:val="0"/>
      <w:marTop w:val="0"/>
      <w:marBottom w:val="0"/>
      <w:divBdr>
        <w:top w:val="none" w:sz="0" w:space="0" w:color="auto"/>
        <w:left w:val="none" w:sz="0" w:space="0" w:color="auto"/>
        <w:bottom w:val="none" w:sz="0" w:space="0" w:color="auto"/>
        <w:right w:val="none" w:sz="0" w:space="0" w:color="auto"/>
      </w:divBdr>
    </w:div>
    <w:div w:id="1940066741">
      <w:bodyDiv w:val="1"/>
      <w:marLeft w:val="0"/>
      <w:marRight w:val="0"/>
      <w:marTop w:val="0"/>
      <w:marBottom w:val="0"/>
      <w:divBdr>
        <w:top w:val="none" w:sz="0" w:space="0" w:color="auto"/>
        <w:left w:val="none" w:sz="0" w:space="0" w:color="auto"/>
        <w:bottom w:val="none" w:sz="0" w:space="0" w:color="auto"/>
        <w:right w:val="none" w:sz="0" w:space="0" w:color="auto"/>
      </w:divBdr>
    </w:div>
    <w:div w:id="207226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uria.europa.eu/juris/document/document.jsf?docid=249068&amp;text=&amp;dir=&amp;doclang=LT&amp;part=1&amp;occ=first&amp;mode=DOC&amp;pageIndex=0&amp;cid=3971790" TargetMode="External"/><Relationship Id="rId18" Type="http://schemas.openxmlformats.org/officeDocument/2006/relationships/hyperlink" Target="https://curia.europa.eu/juris/document/document.jsf?text=&amp;docid=251305&amp;pageIndex=0&amp;doclang=LT&amp;mode=lst&amp;dir=&amp;occ=first&amp;part=1&amp;cid=3685981" TargetMode="External"/><Relationship Id="rId26" Type="http://schemas.openxmlformats.org/officeDocument/2006/relationships/hyperlink" Target="https://curia.europa.eu/juris/document/document.jsf?text=&amp;docid=247609&amp;pageIndex=0&amp;doclang=lt&amp;mode=lst&amp;dir=&amp;occ=first&amp;part=1&amp;cid=6203247" TargetMode="External"/><Relationship Id="rId3" Type="http://schemas.openxmlformats.org/officeDocument/2006/relationships/styles" Target="styles.xml"/><Relationship Id="rId21" Type="http://schemas.openxmlformats.org/officeDocument/2006/relationships/hyperlink" Target="https://curia.europa.eu/juris/document/document.jsf?text=&amp;docid=249067&amp;pageIndex=0&amp;doclang=lt&amp;mode=lst&amp;dir=&amp;occ=first&amp;part=1&amp;cid=6196331" TargetMode="External"/><Relationship Id="rId7" Type="http://schemas.openxmlformats.org/officeDocument/2006/relationships/endnotes" Target="endnotes.xml"/><Relationship Id="rId12" Type="http://schemas.openxmlformats.org/officeDocument/2006/relationships/hyperlink" Target="https://curia.europa.eu/juris/document/document.jsf;jsessionid=37180564DD2EF93F409C33B00D86C5F5?text=&amp;docid=247869&amp;pageIndex=0&amp;doclang=lt&amp;mode=lst&amp;dir=&amp;occ=first&amp;part=1&amp;cid=3883390" TargetMode="External"/><Relationship Id="rId17" Type="http://schemas.openxmlformats.org/officeDocument/2006/relationships/hyperlink" Target="https://curia.europa.eu/juris/document/document.jsf?text=&amp;docid=243867&amp;pageIndex=0&amp;doclang=LT&amp;mode=lst&amp;dir=&amp;occ=first&amp;part=1&amp;cid=868337" TargetMode="External"/><Relationship Id="rId25" Type="http://schemas.openxmlformats.org/officeDocument/2006/relationships/hyperlink" Target="https://curia.europa.eu/juris/document/document.jsf?text=&amp;docid=247058&amp;pageIndex=0&amp;doclang=lt&amp;mode=lst&amp;dir=&amp;occ=first&amp;part=1&amp;cid=6194134"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uria.europa.eu/juris/document/document.jsf?text=&amp;docid=244195&amp;pageIndex=0&amp;doclang=lt&amp;mode=lst&amp;dir=&amp;occ=first&amp;part=1&amp;cid=10698004" TargetMode="External"/><Relationship Id="rId20" Type="http://schemas.openxmlformats.org/officeDocument/2006/relationships/hyperlink" Target="https://curia.europa.eu/juris/document/document.jsf?text=&amp;docid=247050&amp;pageIndex=0&amp;doclang=LT&amp;mode=lst&amp;dir=&amp;occ=first&amp;part=1&amp;cid=4619876" TargetMode="External"/><Relationship Id="rId29" Type="http://schemas.openxmlformats.org/officeDocument/2006/relationships/hyperlink" Target="https://curia.europa.eu/juris/document/document.jsf?text=&amp;docid=246301&amp;pageIndex=0&amp;doclang=LT&amp;mode=lst&amp;dir=&amp;occ=first&amp;part=1&amp;cid=45910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ria.europa.eu/juris/document/document.jsf?text=&amp;docid=243641&amp;pageIndex=0&amp;doclang=LT&amp;mode=lst&amp;dir=&amp;occ=first&amp;part=1&amp;cid=4013459" TargetMode="External"/><Relationship Id="rId24" Type="http://schemas.openxmlformats.org/officeDocument/2006/relationships/hyperlink" Target="https://curia.europa.eu/juris/document/document.jsf?text=&amp;docid=248285&amp;pageIndex=0&amp;doclang=lt&amp;mode=lst&amp;dir=&amp;occ=first&amp;part=1&amp;cid=17165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uria.europa.eu/juris/document/document.jsf?text=&amp;docid=250863&amp;pageIndex=0&amp;doclang=LT&amp;mode=req&amp;dir=&amp;occ=first&amp;part=1&amp;cid=3972627" TargetMode="External"/><Relationship Id="rId23" Type="http://schemas.openxmlformats.org/officeDocument/2006/relationships/hyperlink" Target="https://curia.europa.eu/juris/document/document.jsf?text=&amp;docid=245747&amp;pageIndex=0&amp;doclang=LT&amp;mode=lst&amp;dir=&amp;occ=first&amp;part=1&amp;cid=3712588" TargetMode="External"/><Relationship Id="rId28" Type="http://schemas.openxmlformats.org/officeDocument/2006/relationships/hyperlink" Target="https://curia.europa.eu/juris/document/document.jsf?text=&amp;docid=250866&amp;pageIndex=0&amp;doclang=lt&amp;mode=lst&amp;dir=&amp;occ=first&amp;part=1&amp;cid=3619306" TargetMode="External"/><Relationship Id="rId10" Type="http://schemas.openxmlformats.org/officeDocument/2006/relationships/hyperlink" Target="http://eur-lex.europa.eu/" TargetMode="External"/><Relationship Id="rId19" Type="http://schemas.openxmlformats.org/officeDocument/2006/relationships/hyperlink" Target="https://curia.europa.eu/juris/document/document.jsf?text=&amp;docid=246785&amp;pageIndex=0&amp;doclang=lt&amp;mode=lst&amp;dir=&amp;occ=first&amp;part=1&amp;cid=4607040"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uria.europa.eu/" TargetMode="External"/><Relationship Id="rId14" Type="http://schemas.openxmlformats.org/officeDocument/2006/relationships/hyperlink" Target="https://curia.europa.eu/juris/document/document.jsf?text=&amp;docid=250047&amp;pageIndex=0&amp;doclang=LT&amp;mode=lst&amp;dir=&amp;occ=first&amp;part=1&amp;cid=1015736" TargetMode="External"/><Relationship Id="rId22" Type="http://schemas.openxmlformats.org/officeDocument/2006/relationships/hyperlink" Target="https://curia.europa.eu/juris/document/document.jsf?text=&amp;docid=250043&amp;pageIndex=0&amp;doclang=LT&amp;mode=lst&amp;dir=&amp;occ=first&amp;part=1&amp;cid=8567186" TargetMode="External"/><Relationship Id="rId27" Type="http://schemas.openxmlformats.org/officeDocument/2006/relationships/hyperlink" Target="https://curia.europa.eu/juris/document/document.jsf?text=&amp;docid=249071&amp;pageIndex=0&amp;doclang=lt&amp;mode=lst&amp;dir=&amp;occ=first&amp;part=1&amp;cid=3534390" TargetMode="External"/><Relationship Id="rId30"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013FE-60C6-4E0E-8C91-CA4FE3E70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33</Pages>
  <Words>19403</Words>
  <Characters>110598</Characters>
  <Application>Microsoft Office Word</Application>
  <DocSecurity>0</DocSecurity>
  <Lines>921</Lines>
  <Paragraphs>259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3</cp:revision>
  <cp:lastPrinted>2022-06-03T06:03:00Z</cp:lastPrinted>
  <dcterms:created xsi:type="dcterms:W3CDTF">2022-06-07T06:39:00Z</dcterms:created>
  <dcterms:modified xsi:type="dcterms:W3CDTF">2022-06-07T07:24:00Z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