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023140" w14:textId="77777777" w:rsidR="003D4C15" w:rsidRPr="003756A5" w:rsidRDefault="003D4C15" w:rsidP="003724AC">
      <w:pPr>
        <w:pStyle w:val="NoSpacing"/>
        <w:spacing w:after="240"/>
        <w:jc w:val="both"/>
        <w:rPr>
          <w:rFonts w:asciiTheme="minorHAnsi" w:hAnsiTheme="minorHAnsi" w:cstheme="minorHAnsi"/>
        </w:rPr>
      </w:pPr>
    </w:p>
    <w:p w14:paraId="07286714" w14:textId="77777777" w:rsidR="003D4C15" w:rsidRPr="003756A5" w:rsidRDefault="003D4C15" w:rsidP="003724AC">
      <w:pPr>
        <w:pStyle w:val="NoSpacing"/>
        <w:spacing w:after="240"/>
        <w:jc w:val="both"/>
        <w:rPr>
          <w:rFonts w:asciiTheme="minorHAnsi" w:hAnsiTheme="minorHAnsi" w:cstheme="minorHAnsi"/>
        </w:rPr>
      </w:pPr>
    </w:p>
    <w:p w14:paraId="34072370" w14:textId="77777777" w:rsidR="00A4671F" w:rsidRPr="003756A5" w:rsidRDefault="00A4671F" w:rsidP="003724AC">
      <w:pPr>
        <w:pStyle w:val="NoSpacing"/>
        <w:spacing w:after="1440"/>
        <w:ind w:left="1296" w:hanging="1296"/>
        <w:jc w:val="both"/>
        <w:rPr>
          <w:rFonts w:asciiTheme="minorHAnsi" w:hAnsiTheme="minorHAnsi" w:cstheme="minorHAnsi"/>
          <w:lang w:eastAsia="lt-LT"/>
        </w:rPr>
      </w:pPr>
    </w:p>
    <w:p w14:paraId="10E749DF" w14:textId="77777777" w:rsidR="003D4C15" w:rsidRPr="003756A5" w:rsidRDefault="003D4C15" w:rsidP="006711FB">
      <w:pPr>
        <w:pStyle w:val="NoSpacing"/>
        <w:spacing w:after="1440"/>
        <w:ind w:left="1296" w:hanging="1296"/>
        <w:jc w:val="center"/>
        <w:rPr>
          <w:rFonts w:asciiTheme="minorHAnsi" w:hAnsiTheme="minorHAnsi" w:cstheme="minorHAnsi"/>
        </w:rPr>
      </w:pPr>
      <w:r w:rsidRPr="003756A5">
        <w:rPr>
          <w:rFonts w:asciiTheme="minorHAnsi" w:hAnsiTheme="minorHAnsi" w:cstheme="minorHAnsi"/>
          <w:noProof/>
          <w:lang w:eastAsia="lt-LT"/>
        </w:rPr>
        <w:drawing>
          <wp:inline distT="0" distB="0" distL="0" distR="0" wp14:anchorId="5D66A75C" wp14:editId="462F6DBB">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614B0B" w:rsidRPr="003756A5">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24917BB2" wp14:editId="7C43308E">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w:pict w14:anchorId="776AFC04">
              <v:rect id="Rectangle 7"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spid="_x0000_s1026" o:allowincell="f" fillcolor="#365f91" strokecolor="#31849b" w14:anchorId="1334F1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">
                <w10:wrap anchorx="page" anchory="page"/>
              </v:rect>
            </w:pict>
          </mc:Fallback>
        </mc:AlternateContent>
      </w:r>
      <w:r w:rsidR="00614B0B" w:rsidRPr="003756A5">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38AAB012" wp14:editId="07317F61">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w:pict w14:anchorId="01485AEF">
              <v:rect id="Rectangle 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spid="_x0000_s1026" o:allowincell="f" fillcolor="#365f91" strokecolor="#17365d" w14:anchorId="77672A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">
                <w10:wrap anchorx="page" anchory="page"/>
              </v:rect>
            </w:pict>
          </mc:Fallback>
        </mc:AlternateContent>
      </w:r>
      <w:r w:rsidR="00614B0B" w:rsidRPr="003756A5">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10F061BE" wp14:editId="70E25DA8">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w:pict w14:anchorId="3756C470">
              <v:rect id="Rectangle 9"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5532EE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">
                <w10:wrap anchorx="page" anchory="page"/>
              </v:rect>
            </w:pict>
          </mc:Fallback>
        </mc:AlternateContent>
      </w:r>
      <w:r w:rsidR="00614B0B" w:rsidRPr="003756A5">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372FF99B" wp14:editId="468787A6">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w:pict w14:anchorId="0DE78BBF">
              <v:rect id="Rectangle 8"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086517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">
                <w10:wrap anchorx="page" anchory="page"/>
              </v:rect>
            </w:pict>
          </mc:Fallback>
        </mc:AlternateContent>
      </w:r>
    </w:p>
    <w:p w14:paraId="14099CBF" w14:textId="77777777" w:rsidR="003D4C15" w:rsidRPr="003756A5" w:rsidRDefault="003D4C15" w:rsidP="006711FB">
      <w:pPr>
        <w:pStyle w:val="NoSpacing"/>
        <w:jc w:val="center"/>
        <w:rPr>
          <w:rFonts w:asciiTheme="minorHAnsi" w:hAnsiTheme="minorHAnsi" w:cstheme="minorHAnsi"/>
          <w:smallCaps/>
          <w:sz w:val="52"/>
          <w:szCs w:val="52"/>
        </w:rPr>
      </w:pPr>
      <w:r w:rsidRPr="003756A5">
        <w:rPr>
          <w:rFonts w:asciiTheme="minorHAnsi" w:hAnsiTheme="minorHAnsi" w:cstheme="minorHAnsi"/>
          <w:smallCaps/>
          <w:sz w:val="52"/>
          <w:szCs w:val="52"/>
        </w:rPr>
        <w:t>Lietuvos vyriausiojo administracinio teismo praktikos apžvalga</w:t>
      </w:r>
    </w:p>
    <w:p w14:paraId="4FCF0FB8" w14:textId="035231C4" w:rsidR="003D4C15" w:rsidRPr="003756A5" w:rsidRDefault="003D4C15" w:rsidP="006711FB">
      <w:pPr>
        <w:pStyle w:val="NoSpacing"/>
        <w:jc w:val="center"/>
        <w:rPr>
          <w:rFonts w:asciiTheme="minorHAnsi" w:hAnsiTheme="minorHAnsi" w:cstheme="minorHAnsi"/>
          <w:b/>
          <w:smallCaps/>
          <w:sz w:val="32"/>
          <w:szCs w:val="32"/>
          <w:u w:val="double"/>
        </w:rPr>
      </w:pPr>
      <w:bookmarkStart w:id="0" w:name="_Toc328035733"/>
      <w:bookmarkStart w:id="1" w:name="_Toc329780677"/>
      <w:bookmarkStart w:id="2" w:name="_Toc329787755"/>
      <w:bookmarkStart w:id="3" w:name="_Toc329790165"/>
      <w:bookmarkStart w:id="4" w:name="_Toc330304784"/>
      <w:bookmarkStart w:id="5" w:name="_Toc331487542"/>
      <w:r w:rsidRPr="003756A5">
        <w:rPr>
          <w:rFonts w:asciiTheme="minorHAnsi" w:hAnsiTheme="minorHAnsi" w:cstheme="minorHAnsi"/>
          <w:b/>
          <w:smallCaps/>
          <w:sz w:val="32"/>
          <w:szCs w:val="32"/>
          <w:u w:val="double"/>
        </w:rPr>
        <w:t>20</w:t>
      </w:r>
      <w:r w:rsidR="007E55E3" w:rsidRPr="003756A5">
        <w:rPr>
          <w:rFonts w:asciiTheme="minorHAnsi" w:hAnsiTheme="minorHAnsi" w:cstheme="minorHAnsi"/>
          <w:b/>
          <w:smallCaps/>
          <w:sz w:val="32"/>
          <w:szCs w:val="32"/>
          <w:u w:val="double"/>
        </w:rPr>
        <w:t>2</w:t>
      </w:r>
      <w:r w:rsidR="004C2000">
        <w:rPr>
          <w:rFonts w:asciiTheme="minorHAnsi" w:hAnsiTheme="minorHAnsi" w:cstheme="minorHAnsi"/>
          <w:b/>
          <w:smallCaps/>
          <w:sz w:val="32"/>
          <w:szCs w:val="32"/>
          <w:u w:val="double"/>
        </w:rPr>
        <w:t>4</w:t>
      </w:r>
      <w:r w:rsidRPr="003756A5">
        <w:rPr>
          <w:rFonts w:asciiTheme="minorHAnsi" w:hAnsiTheme="minorHAnsi" w:cstheme="minorHAnsi"/>
          <w:b/>
          <w:smallCaps/>
          <w:sz w:val="32"/>
          <w:szCs w:val="32"/>
          <w:u w:val="double"/>
        </w:rPr>
        <w:t xml:space="preserve"> m. </w:t>
      </w:r>
      <w:r w:rsidR="00A57170">
        <w:rPr>
          <w:rFonts w:asciiTheme="minorHAnsi" w:hAnsiTheme="minorHAnsi" w:cstheme="minorHAnsi"/>
          <w:b/>
          <w:smallCaps/>
          <w:sz w:val="32"/>
          <w:szCs w:val="32"/>
          <w:u w:val="double"/>
        </w:rPr>
        <w:t>lapkri</w:t>
      </w:r>
      <w:r w:rsidR="00581707">
        <w:rPr>
          <w:rFonts w:asciiTheme="minorHAnsi" w:hAnsiTheme="minorHAnsi" w:cstheme="minorHAnsi"/>
          <w:b/>
          <w:smallCaps/>
          <w:sz w:val="32"/>
          <w:szCs w:val="32"/>
          <w:u w:val="double"/>
        </w:rPr>
        <w:t>čio</w:t>
      </w:r>
      <w:r w:rsidR="00572EBC" w:rsidRPr="003756A5">
        <w:rPr>
          <w:rFonts w:asciiTheme="minorHAnsi" w:hAnsiTheme="minorHAnsi" w:cstheme="minorHAnsi"/>
          <w:b/>
          <w:smallCaps/>
          <w:sz w:val="32"/>
          <w:szCs w:val="32"/>
          <w:u w:val="double"/>
        </w:rPr>
        <w:t xml:space="preserve"> </w:t>
      </w:r>
      <w:r w:rsidRPr="003756A5">
        <w:rPr>
          <w:rFonts w:asciiTheme="minorHAnsi" w:hAnsiTheme="minorHAnsi" w:cstheme="minorHAnsi"/>
          <w:b/>
          <w:smallCaps/>
          <w:sz w:val="32"/>
          <w:szCs w:val="32"/>
          <w:u w:val="double"/>
        </w:rPr>
        <w:t>1 d.–20</w:t>
      </w:r>
      <w:r w:rsidR="007E55E3" w:rsidRPr="003756A5">
        <w:rPr>
          <w:rFonts w:asciiTheme="minorHAnsi" w:hAnsiTheme="minorHAnsi" w:cstheme="minorHAnsi"/>
          <w:b/>
          <w:smallCaps/>
          <w:sz w:val="32"/>
          <w:szCs w:val="32"/>
          <w:u w:val="double"/>
        </w:rPr>
        <w:t>2</w:t>
      </w:r>
      <w:r w:rsidR="004C2000">
        <w:rPr>
          <w:rFonts w:asciiTheme="minorHAnsi" w:hAnsiTheme="minorHAnsi" w:cstheme="minorHAnsi"/>
          <w:b/>
          <w:smallCaps/>
          <w:sz w:val="32"/>
          <w:szCs w:val="32"/>
          <w:u w:val="double"/>
        </w:rPr>
        <w:t>4</w:t>
      </w:r>
      <w:r w:rsidRPr="003756A5">
        <w:rPr>
          <w:rFonts w:asciiTheme="minorHAnsi" w:hAnsiTheme="minorHAnsi" w:cstheme="minorHAnsi"/>
          <w:b/>
          <w:smallCaps/>
          <w:sz w:val="32"/>
          <w:szCs w:val="32"/>
          <w:u w:val="double"/>
        </w:rPr>
        <w:t xml:space="preserve"> m.</w:t>
      </w:r>
      <w:r w:rsidR="000F1C77" w:rsidRPr="003756A5">
        <w:rPr>
          <w:rFonts w:asciiTheme="minorHAnsi" w:hAnsiTheme="minorHAnsi" w:cstheme="minorHAnsi"/>
          <w:b/>
          <w:smallCaps/>
          <w:sz w:val="32"/>
          <w:szCs w:val="32"/>
          <w:u w:val="double"/>
        </w:rPr>
        <w:t xml:space="preserve"> </w:t>
      </w:r>
      <w:r w:rsidR="00A57170">
        <w:rPr>
          <w:rFonts w:asciiTheme="minorHAnsi" w:hAnsiTheme="minorHAnsi" w:cstheme="minorHAnsi"/>
          <w:b/>
          <w:smallCaps/>
          <w:sz w:val="32"/>
          <w:szCs w:val="32"/>
          <w:u w:val="double"/>
        </w:rPr>
        <w:t>lapkričio</w:t>
      </w:r>
      <w:r w:rsidR="00A57170" w:rsidRPr="003756A5">
        <w:rPr>
          <w:rFonts w:asciiTheme="minorHAnsi" w:hAnsiTheme="minorHAnsi" w:cstheme="minorHAnsi"/>
          <w:b/>
          <w:smallCaps/>
          <w:sz w:val="32"/>
          <w:szCs w:val="32"/>
          <w:u w:val="double"/>
        </w:rPr>
        <w:t xml:space="preserve"> </w:t>
      </w:r>
      <w:r w:rsidR="001D6202">
        <w:rPr>
          <w:rFonts w:asciiTheme="minorHAnsi" w:hAnsiTheme="minorHAnsi" w:cstheme="minorHAnsi"/>
          <w:b/>
          <w:smallCaps/>
          <w:sz w:val="32"/>
          <w:szCs w:val="32"/>
          <w:u w:val="double"/>
        </w:rPr>
        <w:t>3</w:t>
      </w:r>
      <w:r w:rsidR="00A57170">
        <w:rPr>
          <w:rFonts w:asciiTheme="minorHAnsi" w:hAnsiTheme="minorHAnsi" w:cstheme="minorHAnsi"/>
          <w:b/>
          <w:smallCaps/>
          <w:sz w:val="32"/>
          <w:szCs w:val="32"/>
          <w:u w:val="double"/>
        </w:rPr>
        <w:t>0</w:t>
      </w:r>
      <w:r w:rsidR="007F7CA4" w:rsidRPr="003756A5">
        <w:rPr>
          <w:rFonts w:asciiTheme="minorHAnsi" w:hAnsiTheme="minorHAnsi" w:cstheme="minorHAnsi"/>
          <w:b/>
          <w:smallCaps/>
          <w:sz w:val="32"/>
          <w:szCs w:val="32"/>
          <w:u w:val="double"/>
        </w:rPr>
        <w:t xml:space="preserve"> </w:t>
      </w:r>
      <w:r w:rsidRPr="003756A5">
        <w:rPr>
          <w:rFonts w:asciiTheme="minorHAnsi" w:hAnsiTheme="minorHAnsi" w:cstheme="minorHAnsi"/>
          <w:b/>
          <w:smallCaps/>
          <w:sz w:val="32"/>
          <w:szCs w:val="32"/>
          <w:u w:val="double"/>
        </w:rPr>
        <w:t>d.</w:t>
      </w:r>
      <w:bookmarkEnd w:id="0"/>
      <w:bookmarkEnd w:id="1"/>
      <w:bookmarkEnd w:id="2"/>
      <w:bookmarkEnd w:id="3"/>
      <w:bookmarkEnd w:id="4"/>
      <w:bookmarkEnd w:id="5"/>
    </w:p>
    <w:p w14:paraId="559AF8DC" w14:textId="77777777" w:rsidR="003D4C15" w:rsidRPr="003756A5" w:rsidRDefault="003D4C15" w:rsidP="003724AC">
      <w:pPr>
        <w:jc w:val="both"/>
        <w:rPr>
          <w:rFonts w:asciiTheme="minorHAnsi" w:hAnsiTheme="minorHAnsi" w:cstheme="minorHAnsi"/>
          <w:b/>
          <w:smallCaps/>
          <w:sz w:val="22"/>
          <w:szCs w:val="22"/>
        </w:rPr>
      </w:pPr>
    </w:p>
    <w:p w14:paraId="3549E2CB" w14:textId="77777777" w:rsidR="003D4C15" w:rsidRPr="003756A5" w:rsidRDefault="003D4C15" w:rsidP="003724AC">
      <w:pPr>
        <w:jc w:val="both"/>
        <w:rPr>
          <w:rFonts w:asciiTheme="minorHAnsi" w:hAnsiTheme="minorHAnsi" w:cstheme="minorHAnsi"/>
          <w:b/>
          <w:smallCaps/>
          <w:sz w:val="22"/>
          <w:szCs w:val="22"/>
        </w:rPr>
      </w:pPr>
    </w:p>
    <w:p w14:paraId="6E8E5B89" w14:textId="77777777" w:rsidR="003D4C15" w:rsidRPr="003756A5" w:rsidRDefault="003D4C15" w:rsidP="003724AC">
      <w:pPr>
        <w:jc w:val="both"/>
        <w:rPr>
          <w:rFonts w:asciiTheme="minorHAnsi" w:hAnsiTheme="minorHAnsi" w:cstheme="minorHAnsi"/>
          <w:b/>
          <w:smallCaps/>
          <w:sz w:val="22"/>
          <w:szCs w:val="22"/>
        </w:rPr>
      </w:pPr>
    </w:p>
    <w:p w14:paraId="665A9625" w14:textId="77777777" w:rsidR="003D4C15" w:rsidRPr="003756A5" w:rsidRDefault="003D4C15" w:rsidP="003724AC">
      <w:pPr>
        <w:jc w:val="both"/>
        <w:rPr>
          <w:rFonts w:asciiTheme="minorHAnsi" w:hAnsiTheme="minorHAnsi" w:cstheme="minorHAnsi"/>
          <w:b/>
          <w:smallCaps/>
          <w:sz w:val="22"/>
          <w:szCs w:val="22"/>
        </w:rPr>
      </w:pPr>
    </w:p>
    <w:p w14:paraId="3C3F018D" w14:textId="77777777" w:rsidR="003D4C15" w:rsidRPr="003756A5" w:rsidRDefault="003D4C15" w:rsidP="003724AC">
      <w:pPr>
        <w:jc w:val="both"/>
        <w:rPr>
          <w:rFonts w:asciiTheme="minorHAnsi" w:hAnsiTheme="minorHAnsi" w:cstheme="minorHAnsi"/>
          <w:b/>
          <w:smallCaps/>
          <w:sz w:val="22"/>
          <w:szCs w:val="22"/>
        </w:rPr>
      </w:pPr>
    </w:p>
    <w:p w14:paraId="582B5E94" w14:textId="77777777" w:rsidR="003D4C15" w:rsidRPr="003756A5" w:rsidRDefault="003D4C15" w:rsidP="003724AC">
      <w:pPr>
        <w:jc w:val="both"/>
        <w:rPr>
          <w:rFonts w:asciiTheme="minorHAnsi" w:hAnsiTheme="minorHAnsi" w:cstheme="minorHAnsi"/>
          <w:b/>
          <w:smallCaps/>
          <w:sz w:val="22"/>
          <w:szCs w:val="22"/>
        </w:rPr>
      </w:pPr>
    </w:p>
    <w:p w14:paraId="12D8443C" w14:textId="77777777" w:rsidR="003D4C15" w:rsidRPr="003756A5" w:rsidRDefault="003D4C15" w:rsidP="003724AC">
      <w:pPr>
        <w:jc w:val="both"/>
        <w:rPr>
          <w:rFonts w:asciiTheme="minorHAnsi" w:hAnsiTheme="minorHAnsi" w:cstheme="minorHAnsi"/>
          <w:b/>
          <w:smallCaps/>
          <w:sz w:val="22"/>
          <w:szCs w:val="22"/>
        </w:rPr>
      </w:pPr>
    </w:p>
    <w:p w14:paraId="0DBE7DED" w14:textId="77777777" w:rsidR="003D4C15" w:rsidRPr="003756A5" w:rsidRDefault="003D4C15" w:rsidP="003724AC">
      <w:pPr>
        <w:jc w:val="both"/>
        <w:rPr>
          <w:rFonts w:asciiTheme="minorHAnsi" w:hAnsiTheme="minorHAnsi" w:cstheme="minorHAnsi"/>
          <w:b/>
          <w:smallCaps/>
          <w:sz w:val="22"/>
          <w:szCs w:val="22"/>
        </w:rPr>
      </w:pPr>
    </w:p>
    <w:p w14:paraId="5FF1B58D" w14:textId="77777777" w:rsidR="003D4C15" w:rsidRPr="003756A5" w:rsidRDefault="003D4C15" w:rsidP="003724AC">
      <w:pPr>
        <w:jc w:val="both"/>
        <w:rPr>
          <w:rFonts w:asciiTheme="minorHAnsi" w:hAnsiTheme="minorHAnsi" w:cstheme="minorHAnsi"/>
          <w:b/>
          <w:smallCaps/>
          <w:sz w:val="22"/>
          <w:szCs w:val="22"/>
        </w:rPr>
      </w:pPr>
    </w:p>
    <w:p w14:paraId="56CED4DD" w14:textId="77777777" w:rsidR="003D4C15" w:rsidRPr="003756A5" w:rsidRDefault="003D4C15" w:rsidP="003724AC">
      <w:pPr>
        <w:jc w:val="both"/>
        <w:rPr>
          <w:rFonts w:asciiTheme="minorHAnsi" w:hAnsiTheme="minorHAnsi" w:cstheme="minorHAnsi"/>
          <w:b/>
          <w:smallCaps/>
          <w:sz w:val="22"/>
          <w:szCs w:val="22"/>
        </w:rPr>
      </w:pPr>
    </w:p>
    <w:p w14:paraId="57C8F8AD" w14:textId="77777777" w:rsidR="003D4C15" w:rsidRPr="003756A5" w:rsidRDefault="003D4C15" w:rsidP="003724AC">
      <w:pPr>
        <w:jc w:val="both"/>
        <w:rPr>
          <w:rFonts w:asciiTheme="minorHAnsi" w:hAnsiTheme="minorHAnsi" w:cstheme="minorHAnsi"/>
          <w:b/>
          <w:smallCaps/>
          <w:sz w:val="22"/>
          <w:szCs w:val="22"/>
        </w:rPr>
      </w:pPr>
    </w:p>
    <w:p w14:paraId="53F8EF3F" w14:textId="77777777" w:rsidR="003D4C15" w:rsidRPr="003756A5" w:rsidRDefault="003D4C15" w:rsidP="003724AC">
      <w:pPr>
        <w:jc w:val="both"/>
        <w:rPr>
          <w:rFonts w:asciiTheme="minorHAnsi" w:hAnsiTheme="minorHAnsi" w:cstheme="minorHAnsi"/>
          <w:b/>
          <w:smallCaps/>
          <w:sz w:val="22"/>
          <w:szCs w:val="22"/>
        </w:rPr>
      </w:pPr>
    </w:p>
    <w:p w14:paraId="0FFF1B08" w14:textId="77777777" w:rsidR="003D4C15" w:rsidRPr="003756A5" w:rsidRDefault="003D4C15" w:rsidP="003724AC">
      <w:pPr>
        <w:jc w:val="both"/>
        <w:rPr>
          <w:rFonts w:asciiTheme="minorHAnsi" w:hAnsiTheme="minorHAnsi" w:cstheme="minorHAnsi"/>
          <w:b/>
          <w:smallCaps/>
          <w:sz w:val="22"/>
          <w:szCs w:val="22"/>
        </w:rPr>
      </w:pPr>
    </w:p>
    <w:p w14:paraId="48BCBEE6" w14:textId="77777777" w:rsidR="003D4C15" w:rsidRPr="003756A5" w:rsidRDefault="003D4C15" w:rsidP="003724AC">
      <w:pPr>
        <w:jc w:val="both"/>
        <w:rPr>
          <w:rFonts w:asciiTheme="minorHAnsi" w:hAnsiTheme="minorHAnsi" w:cstheme="minorHAnsi"/>
          <w:b/>
          <w:smallCaps/>
          <w:sz w:val="22"/>
          <w:szCs w:val="22"/>
        </w:rPr>
      </w:pPr>
    </w:p>
    <w:p w14:paraId="0BF451DA" w14:textId="77777777" w:rsidR="003D4C15" w:rsidRPr="003756A5" w:rsidRDefault="003D4C15" w:rsidP="003724AC">
      <w:pPr>
        <w:jc w:val="both"/>
        <w:rPr>
          <w:rFonts w:asciiTheme="minorHAnsi" w:hAnsiTheme="minorHAnsi" w:cstheme="minorHAnsi"/>
          <w:b/>
          <w:smallCaps/>
          <w:sz w:val="22"/>
          <w:szCs w:val="22"/>
        </w:rPr>
      </w:pPr>
    </w:p>
    <w:p w14:paraId="36F4D8EF" w14:textId="77777777" w:rsidR="003D4C15" w:rsidRPr="003756A5" w:rsidRDefault="003D4C15" w:rsidP="006711FB">
      <w:pPr>
        <w:jc w:val="center"/>
        <w:rPr>
          <w:rFonts w:asciiTheme="minorHAnsi" w:hAnsiTheme="minorHAnsi" w:cstheme="minorHAnsi"/>
          <w:b/>
          <w:smallCaps/>
          <w:sz w:val="28"/>
          <w:szCs w:val="28"/>
        </w:rPr>
      </w:pPr>
      <w:r w:rsidRPr="003756A5">
        <w:rPr>
          <w:rFonts w:asciiTheme="minorHAnsi" w:hAnsiTheme="minorHAnsi" w:cstheme="minorHAnsi"/>
          <w:b/>
          <w:smallCaps/>
          <w:sz w:val="28"/>
          <w:szCs w:val="28"/>
        </w:rPr>
        <w:t>Apžvalgą parengė Lietuvos vyriausiojo administracinio teismo</w:t>
      </w:r>
    </w:p>
    <w:p w14:paraId="6A332043" w14:textId="77777777" w:rsidR="003D4C15" w:rsidRPr="003756A5" w:rsidRDefault="003D4C15" w:rsidP="006711FB">
      <w:pPr>
        <w:jc w:val="center"/>
        <w:rPr>
          <w:rFonts w:asciiTheme="minorHAnsi" w:hAnsiTheme="minorHAnsi" w:cstheme="minorHAnsi"/>
          <w:sz w:val="22"/>
          <w:szCs w:val="22"/>
        </w:rPr>
      </w:pPr>
      <w:r w:rsidRPr="003756A5">
        <w:rPr>
          <w:rFonts w:asciiTheme="minorHAnsi" w:hAnsiTheme="minorHAnsi" w:cstheme="minorHAnsi"/>
          <w:b/>
          <w:smallCaps/>
          <w:sz w:val="28"/>
          <w:szCs w:val="28"/>
        </w:rPr>
        <w:t>T</w:t>
      </w:r>
      <w:r w:rsidR="0016762E" w:rsidRPr="003756A5">
        <w:rPr>
          <w:rFonts w:asciiTheme="minorHAnsi" w:hAnsiTheme="minorHAnsi" w:cstheme="minorHAnsi"/>
          <w:b/>
          <w:smallCaps/>
          <w:sz w:val="28"/>
          <w:szCs w:val="28"/>
        </w:rPr>
        <w:t xml:space="preserve">eismų praktikos </w:t>
      </w:r>
      <w:r w:rsidRPr="003756A5">
        <w:rPr>
          <w:rFonts w:asciiTheme="minorHAnsi" w:hAnsiTheme="minorHAnsi" w:cstheme="minorHAnsi"/>
          <w:b/>
          <w:smallCaps/>
          <w:sz w:val="28"/>
          <w:szCs w:val="28"/>
        </w:rPr>
        <w:t>departamentas</w:t>
      </w:r>
      <w:r w:rsidRPr="003756A5">
        <w:rPr>
          <w:rFonts w:asciiTheme="minorHAnsi" w:hAnsiTheme="minorHAnsi" w:cstheme="minorHAnsi"/>
          <w:smallCaps/>
          <w:sz w:val="22"/>
          <w:szCs w:val="22"/>
        </w:rPr>
        <w:br w:type="page"/>
      </w:r>
      <w:bookmarkStart w:id="6" w:name="_Hlk529270320"/>
      <w:bookmarkStart w:id="7" w:name="_Toc120597382"/>
      <w:r w:rsidRPr="003756A5">
        <w:rPr>
          <w:rFonts w:asciiTheme="minorHAnsi" w:hAnsiTheme="minorHAnsi" w:cstheme="minorHAnsi"/>
          <w:b/>
          <w:sz w:val="22"/>
          <w:szCs w:val="22"/>
        </w:rPr>
        <w:lastRenderedPageBreak/>
        <w:t>TURINY</w:t>
      </w:r>
      <w:r w:rsidR="00AA4BED" w:rsidRPr="003756A5">
        <w:rPr>
          <w:rFonts w:asciiTheme="minorHAnsi" w:hAnsiTheme="minorHAnsi" w:cstheme="minorHAnsi"/>
          <w:b/>
          <w:sz w:val="22"/>
          <w:szCs w:val="22"/>
        </w:rPr>
        <w:t>S</w:t>
      </w:r>
    </w:p>
    <w:bookmarkStart w:id="8" w:name="_Hlk78967306"/>
    <w:p w14:paraId="03B0430D" w14:textId="07C2F86E" w:rsidR="007E0DAF" w:rsidRDefault="00A364C6">
      <w:pPr>
        <w:pStyle w:val="TOC1"/>
        <w:rPr>
          <w:rFonts w:eastAsiaTheme="minorEastAsia" w:cstheme="minorBidi"/>
          <w:b w:val="0"/>
          <w:bCs w:val="0"/>
          <w:caps w:val="0"/>
          <w:noProof/>
          <w:kern w:val="2"/>
          <w:szCs w:val="22"/>
          <w:lang w:val="en-US" w:eastAsia="en-US"/>
          <w14:ligatures w14:val="standardContextual"/>
        </w:rPr>
      </w:pPr>
      <w:r w:rsidRPr="003756A5">
        <w:rPr>
          <w:szCs w:val="22"/>
        </w:rPr>
        <w:fldChar w:fldCharType="begin"/>
      </w:r>
      <w:r w:rsidR="003D4C15" w:rsidRPr="00E2490F">
        <w:rPr>
          <w:szCs w:val="22"/>
        </w:rPr>
        <w:instrText xml:space="preserve"> TOC \o "1-3" \h \z \u </w:instrText>
      </w:r>
      <w:r w:rsidRPr="003756A5">
        <w:rPr>
          <w:szCs w:val="22"/>
        </w:rPr>
        <w:fldChar w:fldCharType="separate"/>
      </w:r>
      <w:hyperlink w:anchor="_Toc187075126" w:history="1">
        <w:r w:rsidR="007E0DAF" w:rsidRPr="00DE2D7D">
          <w:rPr>
            <w:rStyle w:val="Hyperlink"/>
            <w:rFonts w:cstheme="minorHAnsi"/>
            <w:noProof/>
          </w:rPr>
          <w:t>I. Administracinės bylos, kylančios iš ginčų dėl teisės viešojo administravimo srityje</w:t>
        </w:r>
        <w:r w:rsidR="007E0DAF">
          <w:rPr>
            <w:noProof/>
            <w:webHidden/>
          </w:rPr>
          <w:tab/>
        </w:r>
        <w:r w:rsidR="007E0DAF">
          <w:rPr>
            <w:noProof/>
            <w:webHidden/>
          </w:rPr>
          <w:fldChar w:fldCharType="begin"/>
        </w:r>
        <w:r w:rsidR="007E0DAF">
          <w:rPr>
            <w:noProof/>
            <w:webHidden/>
          </w:rPr>
          <w:instrText xml:space="preserve"> PAGEREF _Toc187075126 \h </w:instrText>
        </w:r>
        <w:r w:rsidR="007E0DAF">
          <w:rPr>
            <w:noProof/>
            <w:webHidden/>
          </w:rPr>
        </w:r>
        <w:r w:rsidR="007E0DAF">
          <w:rPr>
            <w:noProof/>
            <w:webHidden/>
          </w:rPr>
          <w:fldChar w:fldCharType="separate"/>
        </w:r>
        <w:r w:rsidR="005B566E">
          <w:rPr>
            <w:noProof/>
            <w:webHidden/>
          </w:rPr>
          <w:t>4</w:t>
        </w:r>
        <w:r w:rsidR="007E0DAF">
          <w:rPr>
            <w:noProof/>
            <w:webHidden/>
          </w:rPr>
          <w:fldChar w:fldCharType="end"/>
        </w:r>
      </w:hyperlink>
    </w:p>
    <w:p w14:paraId="1C090957" w14:textId="3DF51F8E" w:rsidR="007E0DAF" w:rsidRDefault="007E0DAF">
      <w:pPr>
        <w:pStyle w:val="TOC1"/>
        <w:rPr>
          <w:rFonts w:eastAsiaTheme="minorEastAsia" w:cstheme="minorBidi"/>
          <w:b w:val="0"/>
          <w:bCs w:val="0"/>
          <w:caps w:val="0"/>
          <w:noProof/>
          <w:kern w:val="2"/>
          <w:szCs w:val="22"/>
          <w:lang w:val="en-US" w:eastAsia="en-US"/>
          <w14:ligatures w14:val="standardContextual"/>
        </w:rPr>
      </w:pPr>
      <w:hyperlink w:anchor="_Toc187075127" w:history="1">
        <w:r w:rsidRPr="00DE2D7D">
          <w:rPr>
            <w:rStyle w:val="Hyperlink"/>
            <w:rFonts w:cstheme="minorHAnsi"/>
            <w:noProof/>
          </w:rPr>
          <w:t>4. Norminių administracinių aktų teisėtumo patikra</w:t>
        </w:r>
        <w:r>
          <w:rPr>
            <w:noProof/>
            <w:webHidden/>
          </w:rPr>
          <w:tab/>
        </w:r>
        <w:r>
          <w:rPr>
            <w:noProof/>
            <w:webHidden/>
          </w:rPr>
          <w:fldChar w:fldCharType="begin"/>
        </w:r>
        <w:r>
          <w:rPr>
            <w:noProof/>
            <w:webHidden/>
          </w:rPr>
          <w:instrText xml:space="preserve"> PAGEREF _Toc187075127 \h </w:instrText>
        </w:r>
        <w:r>
          <w:rPr>
            <w:noProof/>
            <w:webHidden/>
          </w:rPr>
        </w:r>
        <w:r>
          <w:rPr>
            <w:noProof/>
            <w:webHidden/>
          </w:rPr>
          <w:fldChar w:fldCharType="separate"/>
        </w:r>
        <w:r w:rsidR="005B566E">
          <w:rPr>
            <w:noProof/>
            <w:webHidden/>
          </w:rPr>
          <w:t>4</w:t>
        </w:r>
        <w:r>
          <w:rPr>
            <w:noProof/>
            <w:webHidden/>
          </w:rPr>
          <w:fldChar w:fldCharType="end"/>
        </w:r>
      </w:hyperlink>
    </w:p>
    <w:p w14:paraId="21B80A40" w14:textId="45851DFC" w:rsidR="007E0DAF" w:rsidRDefault="007E0DAF">
      <w:pPr>
        <w:pStyle w:val="TOC2"/>
        <w:rPr>
          <w:rFonts w:eastAsiaTheme="minorEastAsia" w:cstheme="minorBidi"/>
          <w:i w:val="0"/>
          <w:noProof/>
          <w:kern w:val="2"/>
          <w:szCs w:val="22"/>
          <w:lang w:val="en-US" w:eastAsia="en-US"/>
          <w14:ligatures w14:val="standardContextual"/>
        </w:rPr>
      </w:pPr>
      <w:hyperlink w:anchor="_Toc187075128" w:history="1">
        <w:r w:rsidRPr="00DE2D7D">
          <w:rPr>
            <w:rStyle w:val="Hyperlink"/>
            <w:rFonts w:eastAsia="Calibri" w:cstheme="minorHAnsi"/>
            <w:noProof/>
          </w:rPr>
          <w:t>Dėl galimybės Audito, apskaitos, turto vertinimo ir nemokumo valdymo tarnybos direktoriui apriboti subjektų, galinčių teikti paklausimus dėl turto arba verslo vertinimo ataskaitos atitikties nustatytiems reikalavimams, ratą</w:t>
        </w:r>
        <w:r>
          <w:rPr>
            <w:noProof/>
            <w:webHidden/>
          </w:rPr>
          <w:tab/>
        </w:r>
        <w:r>
          <w:rPr>
            <w:noProof/>
            <w:webHidden/>
          </w:rPr>
          <w:fldChar w:fldCharType="begin"/>
        </w:r>
        <w:r>
          <w:rPr>
            <w:noProof/>
            <w:webHidden/>
          </w:rPr>
          <w:instrText xml:space="preserve"> PAGEREF _Toc187075128 \h </w:instrText>
        </w:r>
        <w:r>
          <w:rPr>
            <w:noProof/>
            <w:webHidden/>
          </w:rPr>
        </w:r>
        <w:r>
          <w:rPr>
            <w:noProof/>
            <w:webHidden/>
          </w:rPr>
          <w:fldChar w:fldCharType="separate"/>
        </w:r>
        <w:r w:rsidR="005B566E">
          <w:rPr>
            <w:noProof/>
            <w:webHidden/>
          </w:rPr>
          <w:t>4</w:t>
        </w:r>
        <w:r>
          <w:rPr>
            <w:noProof/>
            <w:webHidden/>
          </w:rPr>
          <w:fldChar w:fldCharType="end"/>
        </w:r>
      </w:hyperlink>
    </w:p>
    <w:p w14:paraId="2C6E0335" w14:textId="0023A559" w:rsidR="007E0DAF" w:rsidRDefault="007E0DAF">
      <w:pPr>
        <w:pStyle w:val="TOC1"/>
        <w:rPr>
          <w:rFonts w:eastAsiaTheme="minorEastAsia" w:cstheme="minorBidi"/>
          <w:b w:val="0"/>
          <w:bCs w:val="0"/>
          <w:caps w:val="0"/>
          <w:noProof/>
          <w:kern w:val="2"/>
          <w:szCs w:val="22"/>
          <w:lang w:val="en-US" w:eastAsia="en-US"/>
          <w14:ligatures w14:val="standardContextual"/>
        </w:rPr>
      </w:pPr>
      <w:hyperlink w:anchor="_Toc187075129" w:history="1">
        <w:r w:rsidRPr="00DE2D7D">
          <w:rPr>
            <w:rStyle w:val="Hyperlink"/>
            <w:rFonts w:cstheme="minorHAnsi"/>
            <w:noProof/>
          </w:rPr>
          <w:t>5. Rinkimai, referendumai ir politinių partijų veikla</w:t>
        </w:r>
        <w:r>
          <w:rPr>
            <w:noProof/>
            <w:webHidden/>
          </w:rPr>
          <w:tab/>
        </w:r>
        <w:r>
          <w:rPr>
            <w:noProof/>
            <w:webHidden/>
          </w:rPr>
          <w:fldChar w:fldCharType="begin"/>
        </w:r>
        <w:r>
          <w:rPr>
            <w:noProof/>
            <w:webHidden/>
          </w:rPr>
          <w:instrText xml:space="preserve"> PAGEREF _Toc187075129 \h </w:instrText>
        </w:r>
        <w:r>
          <w:rPr>
            <w:noProof/>
            <w:webHidden/>
          </w:rPr>
        </w:r>
        <w:r>
          <w:rPr>
            <w:noProof/>
            <w:webHidden/>
          </w:rPr>
          <w:fldChar w:fldCharType="separate"/>
        </w:r>
        <w:r w:rsidR="005B566E">
          <w:rPr>
            <w:noProof/>
            <w:webHidden/>
          </w:rPr>
          <w:t>5</w:t>
        </w:r>
        <w:r>
          <w:rPr>
            <w:noProof/>
            <w:webHidden/>
          </w:rPr>
          <w:fldChar w:fldCharType="end"/>
        </w:r>
      </w:hyperlink>
    </w:p>
    <w:p w14:paraId="137DC673" w14:textId="559FCD15" w:rsidR="007E0DAF" w:rsidRDefault="007E0DAF">
      <w:pPr>
        <w:pStyle w:val="TOC2"/>
        <w:rPr>
          <w:rFonts w:eastAsiaTheme="minorEastAsia" w:cstheme="minorBidi"/>
          <w:i w:val="0"/>
          <w:noProof/>
          <w:kern w:val="2"/>
          <w:szCs w:val="22"/>
          <w:lang w:val="en-US" w:eastAsia="en-US"/>
          <w14:ligatures w14:val="standardContextual"/>
        </w:rPr>
      </w:pPr>
      <w:hyperlink w:anchor="_Toc187075130" w:history="1">
        <w:r w:rsidRPr="00DE2D7D">
          <w:rPr>
            <w:rStyle w:val="Hyperlink"/>
            <w:rFonts w:eastAsia="Calibri" w:cstheme="minorHAnsi"/>
            <w:noProof/>
          </w:rPr>
          <w:t>Dėl rinkimų stebėtojo registravimo panaikinimo ir stebėtojo pažymėjimo anuliavimo apskundimo tvarkos</w:t>
        </w:r>
        <w:r>
          <w:rPr>
            <w:noProof/>
            <w:webHidden/>
          </w:rPr>
          <w:tab/>
        </w:r>
        <w:r>
          <w:rPr>
            <w:noProof/>
            <w:webHidden/>
          </w:rPr>
          <w:fldChar w:fldCharType="begin"/>
        </w:r>
        <w:r>
          <w:rPr>
            <w:noProof/>
            <w:webHidden/>
          </w:rPr>
          <w:instrText xml:space="preserve"> PAGEREF _Toc187075130 \h </w:instrText>
        </w:r>
        <w:r>
          <w:rPr>
            <w:noProof/>
            <w:webHidden/>
          </w:rPr>
        </w:r>
        <w:r>
          <w:rPr>
            <w:noProof/>
            <w:webHidden/>
          </w:rPr>
          <w:fldChar w:fldCharType="separate"/>
        </w:r>
        <w:r w:rsidR="005B566E">
          <w:rPr>
            <w:noProof/>
            <w:webHidden/>
          </w:rPr>
          <w:t>5</w:t>
        </w:r>
        <w:r>
          <w:rPr>
            <w:noProof/>
            <w:webHidden/>
          </w:rPr>
          <w:fldChar w:fldCharType="end"/>
        </w:r>
      </w:hyperlink>
    </w:p>
    <w:p w14:paraId="5B32D41C" w14:textId="7A230809" w:rsidR="007E0DAF" w:rsidRDefault="007E0DAF">
      <w:pPr>
        <w:pStyle w:val="TOC2"/>
        <w:rPr>
          <w:rFonts w:eastAsiaTheme="minorEastAsia" w:cstheme="minorBidi"/>
          <w:i w:val="0"/>
          <w:noProof/>
          <w:kern w:val="2"/>
          <w:szCs w:val="22"/>
          <w:lang w:val="en-US" w:eastAsia="en-US"/>
          <w14:ligatures w14:val="standardContextual"/>
        </w:rPr>
      </w:pPr>
      <w:hyperlink w:anchor="_Toc187075131" w:history="1">
        <w:r w:rsidRPr="00DE2D7D">
          <w:rPr>
            <w:rStyle w:val="Hyperlink"/>
            <w:rFonts w:eastAsia="Calibri" w:cstheme="minorHAnsi"/>
            <w:noProof/>
          </w:rPr>
          <w:t>Dėl privalomo rinkimų komisijų narių darbo apmokėjimo</w:t>
        </w:r>
        <w:r>
          <w:rPr>
            <w:noProof/>
            <w:webHidden/>
          </w:rPr>
          <w:tab/>
        </w:r>
        <w:r>
          <w:rPr>
            <w:noProof/>
            <w:webHidden/>
          </w:rPr>
          <w:fldChar w:fldCharType="begin"/>
        </w:r>
        <w:r>
          <w:rPr>
            <w:noProof/>
            <w:webHidden/>
          </w:rPr>
          <w:instrText xml:space="preserve"> PAGEREF _Toc187075131 \h </w:instrText>
        </w:r>
        <w:r>
          <w:rPr>
            <w:noProof/>
            <w:webHidden/>
          </w:rPr>
        </w:r>
        <w:r>
          <w:rPr>
            <w:noProof/>
            <w:webHidden/>
          </w:rPr>
          <w:fldChar w:fldCharType="separate"/>
        </w:r>
        <w:r w:rsidR="005B566E">
          <w:rPr>
            <w:noProof/>
            <w:webHidden/>
          </w:rPr>
          <w:t>5</w:t>
        </w:r>
        <w:r>
          <w:rPr>
            <w:noProof/>
            <w:webHidden/>
          </w:rPr>
          <w:fldChar w:fldCharType="end"/>
        </w:r>
      </w:hyperlink>
    </w:p>
    <w:p w14:paraId="48002810" w14:textId="494B23D8" w:rsidR="007E0DAF" w:rsidRDefault="007E0DAF">
      <w:pPr>
        <w:pStyle w:val="TOC1"/>
        <w:rPr>
          <w:rFonts w:eastAsiaTheme="minorEastAsia" w:cstheme="minorBidi"/>
          <w:b w:val="0"/>
          <w:bCs w:val="0"/>
          <w:caps w:val="0"/>
          <w:noProof/>
          <w:kern w:val="2"/>
          <w:szCs w:val="22"/>
          <w:lang w:val="en-US" w:eastAsia="en-US"/>
          <w14:ligatures w14:val="standardContextual"/>
        </w:rPr>
      </w:pPr>
      <w:hyperlink w:anchor="_Toc187075132" w:history="1">
        <w:r w:rsidRPr="00DE2D7D">
          <w:rPr>
            <w:rStyle w:val="Hyperlink"/>
            <w:rFonts w:cstheme="minorHAnsi"/>
            <w:noProof/>
          </w:rPr>
          <w:t>8. Užsieniečių teisinė padėtis</w:t>
        </w:r>
        <w:r>
          <w:rPr>
            <w:noProof/>
            <w:webHidden/>
          </w:rPr>
          <w:tab/>
        </w:r>
        <w:r>
          <w:rPr>
            <w:noProof/>
            <w:webHidden/>
          </w:rPr>
          <w:fldChar w:fldCharType="begin"/>
        </w:r>
        <w:r>
          <w:rPr>
            <w:noProof/>
            <w:webHidden/>
          </w:rPr>
          <w:instrText xml:space="preserve"> PAGEREF _Toc187075132 \h </w:instrText>
        </w:r>
        <w:r>
          <w:rPr>
            <w:noProof/>
            <w:webHidden/>
          </w:rPr>
        </w:r>
        <w:r>
          <w:rPr>
            <w:noProof/>
            <w:webHidden/>
          </w:rPr>
          <w:fldChar w:fldCharType="separate"/>
        </w:r>
        <w:r w:rsidR="005B566E">
          <w:rPr>
            <w:noProof/>
            <w:webHidden/>
          </w:rPr>
          <w:t>6</w:t>
        </w:r>
        <w:r>
          <w:rPr>
            <w:noProof/>
            <w:webHidden/>
          </w:rPr>
          <w:fldChar w:fldCharType="end"/>
        </w:r>
      </w:hyperlink>
    </w:p>
    <w:p w14:paraId="490DCB3F" w14:textId="531016D8" w:rsidR="007E0DAF" w:rsidRDefault="007E0DAF">
      <w:pPr>
        <w:pStyle w:val="TOC2"/>
        <w:rPr>
          <w:rFonts w:eastAsiaTheme="minorEastAsia" w:cstheme="minorBidi"/>
          <w:i w:val="0"/>
          <w:noProof/>
          <w:kern w:val="2"/>
          <w:szCs w:val="22"/>
          <w:lang w:val="en-US" w:eastAsia="en-US"/>
          <w14:ligatures w14:val="standardContextual"/>
        </w:rPr>
      </w:pPr>
      <w:hyperlink w:anchor="_Toc187075133" w:history="1">
        <w:r w:rsidRPr="00DE2D7D">
          <w:rPr>
            <w:rStyle w:val="Hyperlink"/>
            <w:rFonts w:eastAsia="Calibri" w:cstheme="minorHAnsi"/>
            <w:noProof/>
          </w:rPr>
          <w:t>Dėl teisės normų, įtvirtinančių leidimo laikinai gyventi Lietuvoje panaikinimo pagrindus, konkurencijos</w:t>
        </w:r>
        <w:r>
          <w:rPr>
            <w:noProof/>
            <w:webHidden/>
          </w:rPr>
          <w:tab/>
        </w:r>
        <w:r>
          <w:rPr>
            <w:noProof/>
            <w:webHidden/>
          </w:rPr>
          <w:fldChar w:fldCharType="begin"/>
        </w:r>
        <w:r>
          <w:rPr>
            <w:noProof/>
            <w:webHidden/>
          </w:rPr>
          <w:instrText xml:space="preserve"> PAGEREF _Toc187075133 \h </w:instrText>
        </w:r>
        <w:r>
          <w:rPr>
            <w:noProof/>
            <w:webHidden/>
          </w:rPr>
        </w:r>
        <w:r>
          <w:rPr>
            <w:noProof/>
            <w:webHidden/>
          </w:rPr>
          <w:fldChar w:fldCharType="separate"/>
        </w:r>
        <w:r w:rsidR="005B566E">
          <w:rPr>
            <w:noProof/>
            <w:webHidden/>
          </w:rPr>
          <w:t>6</w:t>
        </w:r>
        <w:r>
          <w:rPr>
            <w:noProof/>
            <w:webHidden/>
          </w:rPr>
          <w:fldChar w:fldCharType="end"/>
        </w:r>
      </w:hyperlink>
    </w:p>
    <w:p w14:paraId="313B1D22" w14:textId="3405973E" w:rsidR="007E0DAF" w:rsidRDefault="007E0DAF">
      <w:pPr>
        <w:pStyle w:val="TOC2"/>
        <w:rPr>
          <w:rFonts w:eastAsiaTheme="minorEastAsia" w:cstheme="minorBidi"/>
          <w:i w:val="0"/>
          <w:noProof/>
          <w:kern w:val="2"/>
          <w:szCs w:val="22"/>
          <w:lang w:val="en-US" w:eastAsia="en-US"/>
          <w14:ligatures w14:val="standardContextual"/>
        </w:rPr>
      </w:pPr>
      <w:hyperlink w:anchor="_Toc187075134" w:history="1">
        <w:r w:rsidRPr="00DE2D7D">
          <w:rPr>
            <w:rStyle w:val="Hyperlink"/>
            <w:rFonts w:eastAsia="Calibri" w:cstheme="minorHAnsi"/>
            <w:noProof/>
          </w:rPr>
          <w:t>Dėl užsieniečio, kurio leidimas laikinai gyventi Lietuvoje naikinamas, teisės būtų išklausytam</w:t>
        </w:r>
        <w:r>
          <w:rPr>
            <w:noProof/>
            <w:webHidden/>
          </w:rPr>
          <w:tab/>
        </w:r>
        <w:r>
          <w:rPr>
            <w:noProof/>
            <w:webHidden/>
          </w:rPr>
          <w:fldChar w:fldCharType="begin"/>
        </w:r>
        <w:r>
          <w:rPr>
            <w:noProof/>
            <w:webHidden/>
          </w:rPr>
          <w:instrText xml:space="preserve"> PAGEREF _Toc187075134 \h </w:instrText>
        </w:r>
        <w:r>
          <w:rPr>
            <w:noProof/>
            <w:webHidden/>
          </w:rPr>
        </w:r>
        <w:r>
          <w:rPr>
            <w:noProof/>
            <w:webHidden/>
          </w:rPr>
          <w:fldChar w:fldCharType="separate"/>
        </w:r>
        <w:r w:rsidR="005B566E">
          <w:rPr>
            <w:noProof/>
            <w:webHidden/>
          </w:rPr>
          <w:t>6</w:t>
        </w:r>
        <w:r>
          <w:rPr>
            <w:noProof/>
            <w:webHidden/>
          </w:rPr>
          <w:fldChar w:fldCharType="end"/>
        </w:r>
      </w:hyperlink>
    </w:p>
    <w:p w14:paraId="43D974BF" w14:textId="5A06AADE" w:rsidR="007E0DAF" w:rsidRDefault="007E0DAF">
      <w:pPr>
        <w:pStyle w:val="TOC2"/>
        <w:rPr>
          <w:rFonts w:eastAsiaTheme="minorEastAsia" w:cstheme="minorBidi"/>
          <w:i w:val="0"/>
          <w:noProof/>
          <w:kern w:val="2"/>
          <w:szCs w:val="22"/>
          <w:lang w:val="en-US" w:eastAsia="en-US"/>
          <w14:ligatures w14:val="standardContextual"/>
        </w:rPr>
      </w:pPr>
      <w:hyperlink w:anchor="_Toc187075135" w:history="1">
        <w:r w:rsidRPr="00DE2D7D">
          <w:rPr>
            <w:rStyle w:val="Hyperlink"/>
            <w:rFonts w:eastAsia="Calibri" w:cstheme="minorHAnsi"/>
            <w:noProof/>
          </w:rPr>
          <w:t>Dėl užsieniečio ir bendrovės, į kurią užsienietis atvyksta dirbti, sąsajų vertinimo leidimo laikinai gyventi išdavimo procedūros metu</w:t>
        </w:r>
        <w:r>
          <w:rPr>
            <w:noProof/>
            <w:webHidden/>
          </w:rPr>
          <w:tab/>
        </w:r>
        <w:r>
          <w:rPr>
            <w:noProof/>
            <w:webHidden/>
          </w:rPr>
          <w:fldChar w:fldCharType="begin"/>
        </w:r>
        <w:r>
          <w:rPr>
            <w:noProof/>
            <w:webHidden/>
          </w:rPr>
          <w:instrText xml:space="preserve"> PAGEREF _Toc187075135 \h </w:instrText>
        </w:r>
        <w:r>
          <w:rPr>
            <w:noProof/>
            <w:webHidden/>
          </w:rPr>
        </w:r>
        <w:r>
          <w:rPr>
            <w:noProof/>
            <w:webHidden/>
          </w:rPr>
          <w:fldChar w:fldCharType="separate"/>
        </w:r>
        <w:r w:rsidR="005B566E">
          <w:rPr>
            <w:noProof/>
            <w:webHidden/>
          </w:rPr>
          <w:t>8</w:t>
        </w:r>
        <w:r>
          <w:rPr>
            <w:noProof/>
            <w:webHidden/>
          </w:rPr>
          <w:fldChar w:fldCharType="end"/>
        </w:r>
      </w:hyperlink>
    </w:p>
    <w:p w14:paraId="0860A399" w14:textId="4373D432" w:rsidR="007E0DAF" w:rsidRDefault="007E0DAF">
      <w:pPr>
        <w:pStyle w:val="TOC2"/>
        <w:rPr>
          <w:rFonts w:eastAsiaTheme="minorEastAsia" w:cstheme="minorBidi"/>
          <w:i w:val="0"/>
          <w:noProof/>
          <w:kern w:val="2"/>
          <w:szCs w:val="22"/>
          <w:lang w:val="en-US" w:eastAsia="en-US"/>
          <w14:ligatures w14:val="standardContextual"/>
        </w:rPr>
      </w:pPr>
      <w:hyperlink w:anchor="_Toc187075136" w:history="1">
        <w:r w:rsidRPr="00DE2D7D">
          <w:rPr>
            <w:rStyle w:val="Hyperlink"/>
            <w:rFonts w:eastAsia="Calibri" w:cstheme="minorHAnsi"/>
            <w:noProof/>
          </w:rPr>
          <w:t>Dėl užsieniečio (ne prieglobsčio prašytojo) sulaikymo, esant priimtam sprendimui išsiųsti užsienietį iš Lietuvos</w:t>
        </w:r>
        <w:r>
          <w:rPr>
            <w:noProof/>
            <w:webHidden/>
          </w:rPr>
          <w:tab/>
        </w:r>
        <w:r>
          <w:rPr>
            <w:noProof/>
            <w:webHidden/>
          </w:rPr>
          <w:fldChar w:fldCharType="begin"/>
        </w:r>
        <w:r>
          <w:rPr>
            <w:noProof/>
            <w:webHidden/>
          </w:rPr>
          <w:instrText xml:space="preserve"> PAGEREF _Toc187075136 \h </w:instrText>
        </w:r>
        <w:r>
          <w:rPr>
            <w:noProof/>
            <w:webHidden/>
          </w:rPr>
        </w:r>
        <w:r>
          <w:rPr>
            <w:noProof/>
            <w:webHidden/>
          </w:rPr>
          <w:fldChar w:fldCharType="separate"/>
        </w:r>
        <w:r w:rsidR="005B566E">
          <w:rPr>
            <w:noProof/>
            <w:webHidden/>
          </w:rPr>
          <w:t>8</w:t>
        </w:r>
        <w:r>
          <w:rPr>
            <w:noProof/>
            <w:webHidden/>
          </w:rPr>
          <w:fldChar w:fldCharType="end"/>
        </w:r>
      </w:hyperlink>
    </w:p>
    <w:p w14:paraId="7E70E0BF" w14:textId="1B5E0AE4" w:rsidR="007E0DAF" w:rsidRDefault="007E0DAF">
      <w:pPr>
        <w:pStyle w:val="TOC2"/>
        <w:rPr>
          <w:rFonts w:eastAsiaTheme="minorEastAsia" w:cstheme="minorBidi"/>
          <w:i w:val="0"/>
          <w:noProof/>
          <w:kern w:val="2"/>
          <w:szCs w:val="22"/>
          <w:lang w:val="en-US" w:eastAsia="en-US"/>
          <w14:ligatures w14:val="standardContextual"/>
        </w:rPr>
      </w:pPr>
      <w:hyperlink w:anchor="_Toc187075137" w:history="1">
        <w:r w:rsidRPr="00DE2D7D">
          <w:rPr>
            <w:rStyle w:val="Hyperlink"/>
            <w:rFonts w:eastAsia="Calibri" w:cstheme="minorHAnsi"/>
            <w:noProof/>
          </w:rPr>
          <w:t>Dėl užsieniečio nepiktnaudžiavimo migracijos procedūromis, darbdaviui atsisakius jį įdarbinti</w:t>
        </w:r>
        <w:r>
          <w:rPr>
            <w:noProof/>
            <w:webHidden/>
          </w:rPr>
          <w:tab/>
        </w:r>
        <w:r>
          <w:rPr>
            <w:noProof/>
            <w:webHidden/>
          </w:rPr>
          <w:fldChar w:fldCharType="begin"/>
        </w:r>
        <w:r>
          <w:rPr>
            <w:noProof/>
            <w:webHidden/>
          </w:rPr>
          <w:instrText xml:space="preserve"> PAGEREF _Toc187075137 \h </w:instrText>
        </w:r>
        <w:r>
          <w:rPr>
            <w:noProof/>
            <w:webHidden/>
          </w:rPr>
        </w:r>
        <w:r>
          <w:rPr>
            <w:noProof/>
            <w:webHidden/>
          </w:rPr>
          <w:fldChar w:fldCharType="separate"/>
        </w:r>
        <w:r w:rsidR="005B566E">
          <w:rPr>
            <w:noProof/>
            <w:webHidden/>
          </w:rPr>
          <w:t>9</w:t>
        </w:r>
        <w:r>
          <w:rPr>
            <w:noProof/>
            <w:webHidden/>
          </w:rPr>
          <w:fldChar w:fldCharType="end"/>
        </w:r>
      </w:hyperlink>
    </w:p>
    <w:p w14:paraId="4B6AFA1E" w14:textId="543634DF" w:rsidR="007E0DAF" w:rsidRDefault="007E0DAF">
      <w:pPr>
        <w:pStyle w:val="TOC1"/>
        <w:rPr>
          <w:rFonts w:eastAsiaTheme="minorEastAsia" w:cstheme="minorBidi"/>
          <w:b w:val="0"/>
          <w:bCs w:val="0"/>
          <w:caps w:val="0"/>
          <w:noProof/>
          <w:kern w:val="2"/>
          <w:szCs w:val="22"/>
          <w:lang w:val="en-US" w:eastAsia="en-US"/>
          <w14:ligatures w14:val="standardContextual"/>
        </w:rPr>
      </w:pPr>
      <w:hyperlink w:anchor="_Toc187075138" w:history="1">
        <w:r w:rsidRPr="00DE2D7D">
          <w:rPr>
            <w:rStyle w:val="Hyperlink"/>
            <w:rFonts w:cstheme="minorHAnsi"/>
            <w:noProof/>
          </w:rPr>
          <w:t>9. Prieglobstis</w:t>
        </w:r>
        <w:r>
          <w:rPr>
            <w:noProof/>
            <w:webHidden/>
          </w:rPr>
          <w:tab/>
        </w:r>
        <w:r>
          <w:rPr>
            <w:noProof/>
            <w:webHidden/>
          </w:rPr>
          <w:fldChar w:fldCharType="begin"/>
        </w:r>
        <w:r>
          <w:rPr>
            <w:noProof/>
            <w:webHidden/>
          </w:rPr>
          <w:instrText xml:space="preserve"> PAGEREF _Toc187075138 \h </w:instrText>
        </w:r>
        <w:r>
          <w:rPr>
            <w:noProof/>
            <w:webHidden/>
          </w:rPr>
        </w:r>
        <w:r>
          <w:rPr>
            <w:noProof/>
            <w:webHidden/>
          </w:rPr>
          <w:fldChar w:fldCharType="separate"/>
        </w:r>
        <w:r w:rsidR="005B566E">
          <w:rPr>
            <w:noProof/>
            <w:webHidden/>
          </w:rPr>
          <w:t>9</w:t>
        </w:r>
        <w:r>
          <w:rPr>
            <w:noProof/>
            <w:webHidden/>
          </w:rPr>
          <w:fldChar w:fldCharType="end"/>
        </w:r>
      </w:hyperlink>
    </w:p>
    <w:p w14:paraId="620A3F1E" w14:textId="4AE41AE4" w:rsidR="007E0DAF" w:rsidRDefault="007E0DAF">
      <w:pPr>
        <w:pStyle w:val="TOC2"/>
        <w:rPr>
          <w:rFonts w:eastAsiaTheme="minorEastAsia" w:cstheme="minorBidi"/>
          <w:i w:val="0"/>
          <w:noProof/>
          <w:kern w:val="2"/>
          <w:szCs w:val="22"/>
          <w:lang w:val="en-US" w:eastAsia="en-US"/>
          <w14:ligatures w14:val="standardContextual"/>
        </w:rPr>
      </w:pPr>
      <w:hyperlink w:anchor="_Toc187075139" w:history="1">
        <w:r w:rsidRPr="00DE2D7D">
          <w:rPr>
            <w:rStyle w:val="Hyperlink"/>
            <w:rFonts w:eastAsia="Calibri" w:cstheme="minorHAnsi"/>
            <w:noProof/>
          </w:rPr>
          <w:t>Dėl Dublino reglamente įtvirtintos diskrecinės išlygos taikymo</w:t>
        </w:r>
        <w:r>
          <w:rPr>
            <w:noProof/>
            <w:webHidden/>
          </w:rPr>
          <w:tab/>
        </w:r>
        <w:r>
          <w:rPr>
            <w:noProof/>
            <w:webHidden/>
          </w:rPr>
          <w:fldChar w:fldCharType="begin"/>
        </w:r>
        <w:r>
          <w:rPr>
            <w:noProof/>
            <w:webHidden/>
          </w:rPr>
          <w:instrText xml:space="preserve"> PAGEREF _Toc187075139 \h </w:instrText>
        </w:r>
        <w:r>
          <w:rPr>
            <w:noProof/>
            <w:webHidden/>
          </w:rPr>
        </w:r>
        <w:r>
          <w:rPr>
            <w:noProof/>
            <w:webHidden/>
          </w:rPr>
          <w:fldChar w:fldCharType="separate"/>
        </w:r>
        <w:r w:rsidR="005B566E">
          <w:rPr>
            <w:noProof/>
            <w:webHidden/>
          </w:rPr>
          <w:t>10</w:t>
        </w:r>
        <w:r>
          <w:rPr>
            <w:noProof/>
            <w:webHidden/>
          </w:rPr>
          <w:fldChar w:fldCharType="end"/>
        </w:r>
      </w:hyperlink>
    </w:p>
    <w:p w14:paraId="3E244328" w14:textId="122E3800" w:rsidR="007E0DAF" w:rsidRDefault="007E0DAF">
      <w:pPr>
        <w:pStyle w:val="TOC1"/>
        <w:rPr>
          <w:rFonts w:eastAsiaTheme="minorEastAsia" w:cstheme="minorBidi"/>
          <w:b w:val="0"/>
          <w:bCs w:val="0"/>
          <w:caps w:val="0"/>
          <w:noProof/>
          <w:kern w:val="2"/>
          <w:szCs w:val="22"/>
          <w:lang w:val="en-US" w:eastAsia="en-US"/>
          <w14:ligatures w14:val="standardContextual"/>
        </w:rPr>
      </w:pPr>
      <w:hyperlink w:anchor="_Toc187075140" w:history="1">
        <w:r w:rsidRPr="00DE2D7D">
          <w:rPr>
            <w:rStyle w:val="Hyperlink"/>
            <w:rFonts w:cstheme="minorHAnsi"/>
            <w:noProof/>
          </w:rPr>
          <w:t>10. Lietuvos Respublikos pilietybė</w:t>
        </w:r>
        <w:r>
          <w:rPr>
            <w:noProof/>
            <w:webHidden/>
          </w:rPr>
          <w:tab/>
        </w:r>
        <w:r>
          <w:rPr>
            <w:noProof/>
            <w:webHidden/>
          </w:rPr>
          <w:fldChar w:fldCharType="begin"/>
        </w:r>
        <w:r>
          <w:rPr>
            <w:noProof/>
            <w:webHidden/>
          </w:rPr>
          <w:instrText xml:space="preserve"> PAGEREF _Toc187075140 \h </w:instrText>
        </w:r>
        <w:r>
          <w:rPr>
            <w:noProof/>
            <w:webHidden/>
          </w:rPr>
        </w:r>
        <w:r>
          <w:rPr>
            <w:noProof/>
            <w:webHidden/>
          </w:rPr>
          <w:fldChar w:fldCharType="separate"/>
        </w:r>
        <w:r w:rsidR="005B566E">
          <w:rPr>
            <w:noProof/>
            <w:webHidden/>
          </w:rPr>
          <w:t>10</w:t>
        </w:r>
        <w:r>
          <w:rPr>
            <w:noProof/>
            <w:webHidden/>
          </w:rPr>
          <w:fldChar w:fldCharType="end"/>
        </w:r>
      </w:hyperlink>
    </w:p>
    <w:p w14:paraId="10312688" w14:textId="0037CA41" w:rsidR="007E0DAF" w:rsidRDefault="007E0DAF">
      <w:pPr>
        <w:pStyle w:val="TOC2"/>
        <w:rPr>
          <w:rFonts w:eastAsiaTheme="minorEastAsia" w:cstheme="minorBidi"/>
          <w:i w:val="0"/>
          <w:noProof/>
          <w:kern w:val="2"/>
          <w:szCs w:val="22"/>
          <w:lang w:val="en-US" w:eastAsia="en-US"/>
          <w14:ligatures w14:val="standardContextual"/>
        </w:rPr>
      </w:pPr>
      <w:hyperlink w:anchor="_Toc187075141" w:history="1">
        <w:r w:rsidRPr="00DE2D7D">
          <w:rPr>
            <w:rStyle w:val="Hyperlink"/>
            <w:rFonts w:eastAsia="Calibri" w:cstheme="minorHAnsi"/>
            <w:noProof/>
          </w:rPr>
          <w:t>Dėl Lietuvos Respublikos pilietybės netekimo, įgijus kitos valstybės pilietybę, ir su tuo susijusių pasekmių – Europos Sąjungos pilietybės netekimo</w:t>
        </w:r>
        <w:r>
          <w:rPr>
            <w:noProof/>
            <w:webHidden/>
          </w:rPr>
          <w:tab/>
        </w:r>
        <w:r>
          <w:rPr>
            <w:noProof/>
            <w:webHidden/>
          </w:rPr>
          <w:fldChar w:fldCharType="begin"/>
        </w:r>
        <w:r>
          <w:rPr>
            <w:noProof/>
            <w:webHidden/>
          </w:rPr>
          <w:instrText xml:space="preserve"> PAGEREF _Toc187075141 \h </w:instrText>
        </w:r>
        <w:r>
          <w:rPr>
            <w:noProof/>
            <w:webHidden/>
          </w:rPr>
        </w:r>
        <w:r>
          <w:rPr>
            <w:noProof/>
            <w:webHidden/>
          </w:rPr>
          <w:fldChar w:fldCharType="separate"/>
        </w:r>
        <w:r w:rsidR="005B566E">
          <w:rPr>
            <w:noProof/>
            <w:webHidden/>
          </w:rPr>
          <w:t>10</w:t>
        </w:r>
        <w:r>
          <w:rPr>
            <w:noProof/>
            <w:webHidden/>
          </w:rPr>
          <w:fldChar w:fldCharType="end"/>
        </w:r>
      </w:hyperlink>
    </w:p>
    <w:p w14:paraId="489FF072" w14:textId="57717C19" w:rsidR="007E0DAF" w:rsidRDefault="007E0DAF">
      <w:pPr>
        <w:pStyle w:val="TOC1"/>
        <w:rPr>
          <w:rFonts w:eastAsiaTheme="minorEastAsia" w:cstheme="minorBidi"/>
          <w:b w:val="0"/>
          <w:bCs w:val="0"/>
          <w:caps w:val="0"/>
          <w:noProof/>
          <w:kern w:val="2"/>
          <w:szCs w:val="22"/>
          <w:lang w:val="en-US" w:eastAsia="en-US"/>
          <w14:ligatures w14:val="standardContextual"/>
        </w:rPr>
      </w:pPr>
      <w:hyperlink w:anchor="_Toc187075142" w:history="1">
        <w:r w:rsidRPr="00DE2D7D">
          <w:rPr>
            <w:rStyle w:val="Hyperlink"/>
            <w:rFonts w:cstheme="minorHAnsi"/>
            <w:noProof/>
          </w:rPr>
          <w:t>11. Konkurencija</w:t>
        </w:r>
        <w:r>
          <w:rPr>
            <w:noProof/>
            <w:webHidden/>
          </w:rPr>
          <w:tab/>
        </w:r>
        <w:r>
          <w:rPr>
            <w:noProof/>
            <w:webHidden/>
          </w:rPr>
          <w:fldChar w:fldCharType="begin"/>
        </w:r>
        <w:r>
          <w:rPr>
            <w:noProof/>
            <w:webHidden/>
          </w:rPr>
          <w:instrText xml:space="preserve"> PAGEREF _Toc187075142 \h </w:instrText>
        </w:r>
        <w:r>
          <w:rPr>
            <w:noProof/>
            <w:webHidden/>
          </w:rPr>
        </w:r>
        <w:r>
          <w:rPr>
            <w:noProof/>
            <w:webHidden/>
          </w:rPr>
          <w:fldChar w:fldCharType="separate"/>
        </w:r>
        <w:r w:rsidR="005B566E">
          <w:rPr>
            <w:noProof/>
            <w:webHidden/>
          </w:rPr>
          <w:t>12</w:t>
        </w:r>
        <w:r>
          <w:rPr>
            <w:noProof/>
            <w:webHidden/>
          </w:rPr>
          <w:fldChar w:fldCharType="end"/>
        </w:r>
      </w:hyperlink>
    </w:p>
    <w:p w14:paraId="3AD8125E" w14:textId="5E8CDF74" w:rsidR="007E0DAF" w:rsidRDefault="007E0DAF">
      <w:pPr>
        <w:pStyle w:val="TOC2"/>
        <w:rPr>
          <w:rFonts w:eastAsiaTheme="minorEastAsia" w:cstheme="minorBidi"/>
          <w:i w:val="0"/>
          <w:noProof/>
          <w:kern w:val="2"/>
          <w:szCs w:val="22"/>
          <w:lang w:val="en-US" w:eastAsia="en-US"/>
          <w14:ligatures w14:val="standardContextual"/>
        </w:rPr>
      </w:pPr>
      <w:hyperlink w:anchor="_Toc187075143" w:history="1">
        <w:r w:rsidRPr="00DE2D7D">
          <w:rPr>
            <w:rStyle w:val="Hyperlink"/>
            <w:rFonts w:eastAsia="Calibri" w:cstheme="minorHAnsi"/>
            <w:noProof/>
          </w:rPr>
          <w:t>Dėl Notarų rūmų išaiškinimų, susijusių su atlyginimo už notarinių veiksmų atlikimą skaičiavimu, vertinimo konkurencijos teisės požiūriu</w:t>
        </w:r>
        <w:r>
          <w:rPr>
            <w:noProof/>
            <w:webHidden/>
          </w:rPr>
          <w:tab/>
        </w:r>
        <w:r>
          <w:rPr>
            <w:noProof/>
            <w:webHidden/>
          </w:rPr>
          <w:fldChar w:fldCharType="begin"/>
        </w:r>
        <w:r>
          <w:rPr>
            <w:noProof/>
            <w:webHidden/>
          </w:rPr>
          <w:instrText xml:space="preserve"> PAGEREF _Toc187075143 \h </w:instrText>
        </w:r>
        <w:r>
          <w:rPr>
            <w:noProof/>
            <w:webHidden/>
          </w:rPr>
        </w:r>
        <w:r>
          <w:rPr>
            <w:noProof/>
            <w:webHidden/>
          </w:rPr>
          <w:fldChar w:fldCharType="separate"/>
        </w:r>
        <w:r w:rsidR="005B566E">
          <w:rPr>
            <w:noProof/>
            <w:webHidden/>
          </w:rPr>
          <w:t>12</w:t>
        </w:r>
        <w:r>
          <w:rPr>
            <w:noProof/>
            <w:webHidden/>
          </w:rPr>
          <w:fldChar w:fldCharType="end"/>
        </w:r>
      </w:hyperlink>
    </w:p>
    <w:p w14:paraId="0E456888" w14:textId="10E5EC95" w:rsidR="007E0DAF" w:rsidRDefault="007E0DAF">
      <w:pPr>
        <w:pStyle w:val="TOC1"/>
        <w:rPr>
          <w:rFonts w:eastAsiaTheme="minorEastAsia" w:cstheme="minorBidi"/>
          <w:b w:val="0"/>
          <w:bCs w:val="0"/>
          <w:caps w:val="0"/>
          <w:noProof/>
          <w:kern w:val="2"/>
          <w:szCs w:val="22"/>
          <w:lang w:val="en-US" w:eastAsia="en-US"/>
          <w14:ligatures w14:val="standardContextual"/>
        </w:rPr>
      </w:pPr>
      <w:hyperlink w:anchor="_Toc187075144" w:history="1">
        <w:r w:rsidRPr="00DE2D7D">
          <w:rPr>
            <w:rStyle w:val="Hyperlink"/>
            <w:rFonts w:cstheme="minorHAnsi"/>
            <w:noProof/>
          </w:rPr>
          <w:t>13. Muitinės veikla</w:t>
        </w:r>
        <w:r>
          <w:rPr>
            <w:noProof/>
            <w:webHidden/>
          </w:rPr>
          <w:tab/>
        </w:r>
        <w:r>
          <w:rPr>
            <w:noProof/>
            <w:webHidden/>
          </w:rPr>
          <w:fldChar w:fldCharType="begin"/>
        </w:r>
        <w:r>
          <w:rPr>
            <w:noProof/>
            <w:webHidden/>
          </w:rPr>
          <w:instrText xml:space="preserve"> PAGEREF _Toc187075144 \h </w:instrText>
        </w:r>
        <w:r>
          <w:rPr>
            <w:noProof/>
            <w:webHidden/>
          </w:rPr>
        </w:r>
        <w:r>
          <w:rPr>
            <w:noProof/>
            <w:webHidden/>
          </w:rPr>
          <w:fldChar w:fldCharType="separate"/>
        </w:r>
        <w:r w:rsidR="005B566E">
          <w:rPr>
            <w:noProof/>
            <w:webHidden/>
          </w:rPr>
          <w:t>13</w:t>
        </w:r>
        <w:r>
          <w:rPr>
            <w:noProof/>
            <w:webHidden/>
          </w:rPr>
          <w:fldChar w:fldCharType="end"/>
        </w:r>
      </w:hyperlink>
    </w:p>
    <w:p w14:paraId="17C7EEB8" w14:textId="42509B7B" w:rsidR="007E0DAF" w:rsidRDefault="007E0DAF">
      <w:pPr>
        <w:pStyle w:val="TOC2"/>
        <w:rPr>
          <w:rFonts w:eastAsiaTheme="minorEastAsia" w:cstheme="minorBidi"/>
          <w:i w:val="0"/>
          <w:noProof/>
          <w:kern w:val="2"/>
          <w:szCs w:val="22"/>
          <w:lang w:val="en-US" w:eastAsia="en-US"/>
          <w14:ligatures w14:val="standardContextual"/>
        </w:rPr>
      </w:pPr>
      <w:hyperlink w:anchor="_Toc187075145" w:history="1">
        <w:r w:rsidRPr="00DE2D7D">
          <w:rPr>
            <w:rStyle w:val="Hyperlink"/>
            <w:rFonts w:eastAsia="Calibri" w:cstheme="minorHAnsi"/>
            <w:noProof/>
          </w:rPr>
          <w:t>Dėl suinteresuoto asmens galimybės ikiteismine tvarka skųsti teritorinės muitinės sprendimą dėl laikino prekių sulaikymo Muitinės departamentui</w:t>
        </w:r>
        <w:r>
          <w:rPr>
            <w:noProof/>
            <w:webHidden/>
          </w:rPr>
          <w:tab/>
        </w:r>
        <w:r>
          <w:rPr>
            <w:noProof/>
            <w:webHidden/>
          </w:rPr>
          <w:fldChar w:fldCharType="begin"/>
        </w:r>
        <w:r>
          <w:rPr>
            <w:noProof/>
            <w:webHidden/>
          </w:rPr>
          <w:instrText xml:space="preserve"> PAGEREF _Toc187075145 \h </w:instrText>
        </w:r>
        <w:r>
          <w:rPr>
            <w:noProof/>
            <w:webHidden/>
          </w:rPr>
        </w:r>
        <w:r>
          <w:rPr>
            <w:noProof/>
            <w:webHidden/>
          </w:rPr>
          <w:fldChar w:fldCharType="separate"/>
        </w:r>
        <w:r w:rsidR="005B566E">
          <w:rPr>
            <w:noProof/>
            <w:webHidden/>
          </w:rPr>
          <w:t>13</w:t>
        </w:r>
        <w:r>
          <w:rPr>
            <w:noProof/>
            <w:webHidden/>
          </w:rPr>
          <w:fldChar w:fldCharType="end"/>
        </w:r>
      </w:hyperlink>
    </w:p>
    <w:p w14:paraId="6C1DBCFE" w14:textId="51825163" w:rsidR="007E0DAF" w:rsidRDefault="007E0DAF">
      <w:pPr>
        <w:pStyle w:val="TOC1"/>
        <w:rPr>
          <w:rFonts w:eastAsiaTheme="minorEastAsia" w:cstheme="minorBidi"/>
          <w:b w:val="0"/>
          <w:bCs w:val="0"/>
          <w:caps w:val="0"/>
          <w:noProof/>
          <w:kern w:val="2"/>
          <w:szCs w:val="22"/>
          <w:lang w:val="en-US" w:eastAsia="en-US"/>
          <w14:ligatures w14:val="standardContextual"/>
        </w:rPr>
      </w:pPr>
      <w:hyperlink w:anchor="_Toc187075146" w:history="1">
        <w:r w:rsidRPr="00DE2D7D">
          <w:rPr>
            <w:rStyle w:val="Hyperlink"/>
            <w:rFonts w:cstheme="minorHAnsi"/>
            <w:noProof/>
          </w:rPr>
          <w:t>16. Teritorijų planavimas</w:t>
        </w:r>
        <w:r>
          <w:rPr>
            <w:noProof/>
            <w:webHidden/>
          </w:rPr>
          <w:tab/>
        </w:r>
        <w:r>
          <w:rPr>
            <w:noProof/>
            <w:webHidden/>
          </w:rPr>
          <w:fldChar w:fldCharType="begin"/>
        </w:r>
        <w:r>
          <w:rPr>
            <w:noProof/>
            <w:webHidden/>
          </w:rPr>
          <w:instrText xml:space="preserve"> PAGEREF _Toc187075146 \h </w:instrText>
        </w:r>
        <w:r>
          <w:rPr>
            <w:noProof/>
            <w:webHidden/>
          </w:rPr>
        </w:r>
        <w:r>
          <w:rPr>
            <w:noProof/>
            <w:webHidden/>
          </w:rPr>
          <w:fldChar w:fldCharType="separate"/>
        </w:r>
        <w:r w:rsidR="005B566E">
          <w:rPr>
            <w:noProof/>
            <w:webHidden/>
          </w:rPr>
          <w:t>14</w:t>
        </w:r>
        <w:r>
          <w:rPr>
            <w:noProof/>
            <w:webHidden/>
          </w:rPr>
          <w:fldChar w:fldCharType="end"/>
        </w:r>
      </w:hyperlink>
    </w:p>
    <w:p w14:paraId="4BE8464C" w14:textId="36190813" w:rsidR="007E0DAF" w:rsidRDefault="007E0DAF">
      <w:pPr>
        <w:pStyle w:val="TOC2"/>
        <w:rPr>
          <w:rFonts w:eastAsiaTheme="minorEastAsia" w:cstheme="minorBidi"/>
          <w:i w:val="0"/>
          <w:noProof/>
          <w:kern w:val="2"/>
          <w:szCs w:val="22"/>
          <w:lang w:val="en-US" w:eastAsia="en-US"/>
          <w14:ligatures w14:val="standardContextual"/>
        </w:rPr>
      </w:pPr>
      <w:hyperlink w:anchor="_Toc187075147" w:history="1">
        <w:r w:rsidRPr="00DE2D7D">
          <w:rPr>
            <w:rStyle w:val="Hyperlink"/>
            <w:rFonts w:eastAsia="Calibri" w:cstheme="minorHAnsi"/>
            <w:noProof/>
          </w:rPr>
          <w:t>Dėl termino, per kurį turi būti priimtas sprendimas dėl planavimo organizatoriaus pateikto kompleksinio teritorijų planavimo dokumento derinimo, pažeidimo teisinių pasekmių</w:t>
        </w:r>
        <w:r>
          <w:rPr>
            <w:noProof/>
            <w:webHidden/>
          </w:rPr>
          <w:tab/>
        </w:r>
        <w:r>
          <w:rPr>
            <w:noProof/>
            <w:webHidden/>
          </w:rPr>
          <w:fldChar w:fldCharType="begin"/>
        </w:r>
        <w:r>
          <w:rPr>
            <w:noProof/>
            <w:webHidden/>
          </w:rPr>
          <w:instrText xml:space="preserve"> PAGEREF _Toc187075147 \h </w:instrText>
        </w:r>
        <w:r>
          <w:rPr>
            <w:noProof/>
            <w:webHidden/>
          </w:rPr>
        </w:r>
        <w:r>
          <w:rPr>
            <w:noProof/>
            <w:webHidden/>
          </w:rPr>
          <w:fldChar w:fldCharType="separate"/>
        </w:r>
        <w:r w:rsidR="005B566E">
          <w:rPr>
            <w:noProof/>
            <w:webHidden/>
          </w:rPr>
          <w:t>14</w:t>
        </w:r>
        <w:r>
          <w:rPr>
            <w:noProof/>
            <w:webHidden/>
          </w:rPr>
          <w:fldChar w:fldCharType="end"/>
        </w:r>
      </w:hyperlink>
    </w:p>
    <w:p w14:paraId="28DDAC59" w14:textId="30EF3BA9" w:rsidR="007E0DAF" w:rsidRDefault="007E0DAF">
      <w:pPr>
        <w:pStyle w:val="TOC1"/>
        <w:rPr>
          <w:rFonts w:eastAsiaTheme="minorEastAsia" w:cstheme="minorBidi"/>
          <w:b w:val="0"/>
          <w:bCs w:val="0"/>
          <w:caps w:val="0"/>
          <w:noProof/>
          <w:kern w:val="2"/>
          <w:szCs w:val="22"/>
          <w:lang w:val="en-US" w:eastAsia="en-US"/>
          <w14:ligatures w14:val="standardContextual"/>
        </w:rPr>
      </w:pPr>
      <w:hyperlink w:anchor="_Toc187075148" w:history="1">
        <w:r w:rsidRPr="00DE2D7D">
          <w:rPr>
            <w:rStyle w:val="Hyperlink"/>
            <w:rFonts w:cstheme="minorHAnsi"/>
            <w:noProof/>
          </w:rPr>
          <w:t>19. Registrai</w:t>
        </w:r>
        <w:r>
          <w:rPr>
            <w:noProof/>
            <w:webHidden/>
          </w:rPr>
          <w:tab/>
        </w:r>
        <w:r>
          <w:rPr>
            <w:noProof/>
            <w:webHidden/>
          </w:rPr>
          <w:fldChar w:fldCharType="begin"/>
        </w:r>
        <w:r>
          <w:rPr>
            <w:noProof/>
            <w:webHidden/>
          </w:rPr>
          <w:instrText xml:space="preserve"> PAGEREF _Toc187075148 \h </w:instrText>
        </w:r>
        <w:r>
          <w:rPr>
            <w:noProof/>
            <w:webHidden/>
          </w:rPr>
        </w:r>
        <w:r>
          <w:rPr>
            <w:noProof/>
            <w:webHidden/>
          </w:rPr>
          <w:fldChar w:fldCharType="separate"/>
        </w:r>
        <w:r w:rsidR="005B566E">
          <w:rPr>
            <w:noProof/>
            <w:webHidden/>
          </w:rPr>
          <w:t>14</w:t>
        </w:r>
        <w:r>
          <w:rPr>
            <w:noProof/>
            <w:webHidden/>
          </w:rPr>
          <w:fldChar w:fldCharType="end"/>
        </w:r>
      </w:hyperlink>
    </w:p>
    <w:p w14:paraId="5B29AAE5" w14:textId="32C9F2AD" w:rsidR="007E0DAF" w:rsidRDefault="007E0DAF">
      <w:pPr>
        <w:pStyle w:val="TOC2"/>
        <w:rPr>
          <w:rFonts w:eastAsiaTheme="minorEastAsia" w:cstheme="minorBidi"/>
          <w:i w:val="0"/>
          <w:noProof/>
          <w:kern w:val="2"/>
          <w:szCs w:val="22"/>
          <w:lang w:val="en-US" w:eastAsia="en-US"/>
          <w14:ligatures w14:val="standardContextual"/>
        </w:rPr>
      </w:pPr>
      <w:hyperlink w:anchor="_Toc187075149" w:history="1">
        <w:r w:rsidRPr="00DE2D7D">
          <w:rPr>
            <w:rStyle w:val="Hyperlink"/>
            <w:rFonts w:eastAsia="Calibri" w:cstheme="minorHAnsi"/>
            <w:noProof/>
          </w:rPr>
          <w:t>Dėl duomenų apie uždarosios akcinės bendrovės akcininko sudarytus akcijų perleidimo sandorius pateikimo Juridinių asmenų dalyvių informacinėje sistemoje tvarkos</w:t>
        </w:r>
        <w:r>
          <w:rPr>
            <w:noProof/>
            <w:webHidden/>
          </w:rPr>
          <w:tab/>
        </w:r>
        <w:r>
          <w:rPr>
            <w:noProof/>
            <w:webHidden/>
          </w:rPr>
          <w:fldChar w:fldCharType="begin"/>
        </w:r>
        <w:r>
          <w:rPr>
            <w:noProof/>
            <w:webHidden/>
          </w:rPr>
          <w:instrText xml:space="preserve"> PAGEREF _Toc187075149 \h </w:instrText>
        </w:r>
        <w:r>
          <w:rPr>
            <w:noProof/>
            <w:webHidden/>
          </w:rPr>
        </w:r>
        <w:r>
          <w:rPr>
            <w:noProof/>
            <w:webHidden/>
          </w:rPr>
          <w:fldChar w:fldCharType="separate"/>
        </w:r>
        <w:r w:rsidR="005B566E">
          <w:rPr>
            <w:noProof/>
            <w:webHidden/>
          </w:rPr>
          <w:t>14</w:t>
        </w:r>
        <w:r>
          <w:rPr>
            <w:noProof/>
            <w:webHidden/>
          </w:rPr>
          <w:fldChar w:fldCharType="end"/>
        </w:r>
      </w:hyperlink>
    </w:p>
    <w:p w14:paraId="688E07DA" w14:textId="3E087690" w:rsidR="007E0DAF" w:rsidRDefault="007E0DAF">
      <w:pPr>
        <w:pStyle w:val="TOC2"/>
        <w:rPr>
          <w:rFonts w:eastAsiaTheme="minorEastAsia" w:cstheme="minorBidi"/>
          <w:i w:val="0"/>
          <w:noProof/>
          <w:kern w:val="2"/>
          <w:szCs w:val="22"/>
          <w:lang w:val="en-US" w:eastAsia="en-US"/>
          <w14:ligatures w14:val="standardContextual"/>
        </w:rPr>
      </w:pPr>
      <w:hyperlink w:anchor="_Toc187075150" w:history="1">
        <w:r w:rsidRPr="00DE2D7D">
          <w:rPr>
            <w:rStyle w:val="Hyperlink"/>
            <w:rFonts w:eastAsia="Calibri" w:cstheme="minorHAnsi"/>
            <w:noProof/>
          </w:rPr>
          <w:t>Dėl išlygos, kai uždaroji akcinė bendrovė gali Juridinių asmenų dalyvių informacinės sistemos tvarkytojui nepateikti akcininko duomenų, taikymo sąlygų</w:t>
        </w:r>
        <w:r>
          <w:rPr>
            <w:noProof/>
            <w:webHidden/>
          </w:rPr>
          <w:tab/>
        </w:r>
        <w:r>
          <w:rPr>
            <w:noProof/>
            <w:webHidden/>
          </w:rPr>
          <w:fldChar w:fldCharType="begin"/>
        </w:r>
        <w:r>
          <w:rPr>
            <w:noProof/>
            <w:webHidden/>
          </w:rPr>
          <w:instrText xml:space="preserve"> PAGEREF _Toc187075150 \h </w:instrText>
        </w:r>
        <w:r>
          <w:rPr>
            <w:noProof/>
            <w:webHidden/>
          </w:rPr>
        </w:r>
        <w:r>
          <w:rPr>
            <w:noProof/>
            <w:webHidden/>
          </w:rPr>
          <w:fldChar w:fldCharType="separate"/>
        </w:r>
        <w:r w:rsidR="005B566E">
          <w:rPr>
            <w:noProof/>
            <w:webHidden/>
          </w:rPr>
          <w:t>15</w:t>
        </w:r>
        <w:r>
          <w:rPr>
            <w:noProof/>
            <w:webHidden/>
          </w:rPr>
          <w:fldChar w:fldCharType="end"/>
        </w:r>
      </w:hyperlink>
    </w:p>
    <w:p w14:paraId="2BD02F48" w14:textId="0D2A6E31" w:rsidR="007E0DAF" w:rsidRDefault="007E0DAF">
      <w:pPr>
        <w:pStyle w:val="TOC1"/>
        <w:rPr>
          <w:rFonts w:eastAsiaTheme="minorEastAsia" w:cstheme="minorBidi"/>
          <w:b w:val="0"/>
          <w:bCs w:val="0"/>
          <w:caps w:val="0"/>
          <w:noProof/>
          <w:kern w:val="2"/>
          <w:szCs w:val="22"/>
          <w:lang w:val="en-US" w:eastAsia="en-US"/>
          <w14:ligatures w14:val="standardContextual"/>
        </w:rPr>
      </w:pPr>
      <w:hyperlink w:anchor="_Toc187075151" w:history="1">
        <w:r w:rsidRPr="00DE2D7D">
          <w:rPr>
            <w:rStyle w:val="Hyperlink"/>
            <w:rFonts w:cstheme="minorHAnsi"/>
            <w:noProof/>
          </w:rPr>
          <w:t>20. Civilinė atsakomybė už žalą, atsiradusią dėl valdžios institucijų neteisėtų veiksmų</w:t>
        </w:r>
        <w:r>
          <w:rPr>
            <w:noProof/>
            <w:webHidden/>
          </w:rPr>
          <w:tab/>
        </w:r>
        <w:r>
          <w:rPr>
            <w:noProof/>
            <w:webHidden/>
          </w:rPr>
          <w:fldChar w:fldCharType="begin"/>
        </w:r>
        <w:r>
          <w:rPr>
            <w:noProof/>
            <w:webHidden/>
          </w:rPr>
          <w:instrText xml:space="preserve"> PAGEREF _Toc187075151 \h </w:instrText>
        </w:r>
        <w:r>
          <w:rPr>
            <w:noProof/>
            <w:webHidden/>
          </w:rPr>
        </w:r>
        <w:r>
          <w:rPr>
            <w:noProof/>
            <w:webHidden/>
          </w:rPr>
          <w:fldChar w:fldCharType="separate"/>
        </w:r>
        <w:r w:rsidR="005B566E">
          <w:rPr>
            <w:noProof/>
            <w:webHidden/>
          </w:rPr>
          <w:t>16</w:t>
        </w:r>
        <w:r>
          <w:rPr>
            <w:noProof/>
            <w:webHidden/>
          </w:rPr>
          <w:fldChar w:fldCharType="end"/>
        </w:r>
      </w:hyperlink>
    </w:p>
    <w:p w14:paraId="6CB2A503" w14:textId="296D711A" w:rsidR="007E0DAF" w:rsidRDefault="007E0DAF">
      <w:pPr>
        <w:pStyle w:val="TOC2"/>
        <w:rPr>
          <w:rFonts w:eastAsiaTheme="minorEastAsia" w:cstheme="minorBidi"/>
          <w:i w:val="0"/>
          <w:noProof/>
          <w:kern w:val="2"/>
          <w:szCs w:val="22"/>
          <w:lang w:val="en-US" w:eastAsia="en-US"/>
          <w14:ligatures w14:val="standardContextual"/>
        </w:rPr>
      </w:pPr>
      <w:hyperlink w:anchor="_Toc187075152" w:history="1">
        <w:r w:rsidRPr="00DE2D7D">
          <w:rPr>
            <w:rStyle w:val="Hyperlink"/>
            <w:rFonts w:eastAsia="Calibri" w:cstheme="minorHAnsi"/>
            <w:noProof/>
          </w:rPr>
          <w:t>Dėl žalos, kilusios šalinant neteisėtų statybų padarinius Kuršių nerijos nacionaliniame parke, atlyginimo</w:t>
        </w:r>
        <w:r>
          <w:rPr>
            <w:noProof/>
            <w:webHidden/>
          </w:rPr>
          <w:tab/>
        </w:r>
        <w:r>
          <w:rPr>
            <w:noProof/>
            <w:webHidden/>
          </w:rPr>
          <w:fldChar w:fldCharType="begin"/>
        </w:r>
        <w:r>
          <w:rPr>
            <w:noProof/>
            <w:webHidden/>
          </w:rPr>
          <w:instrText xml:space="preserve"> PAGEREF _Toc187075152 \h </w:instrText>
        </w:r>
        <w:r>
          <w:rPr>
            <w:noProof/>
            <w:webHidden/>
          </w:rPr>
        </w:r>
        <w:r>
          <w:rPr>
            <w:noProof/>
            <w:webHidden/>
          </w:rPr>
          <w:fldChar w:fldCharType="separate"/>
        </w:r>
        <w:r w:rsidR="005B566E">
          <w:rPr>
            <w:noProof/>
            <w:webHidden/>
          </w:rPr>
          <w:t>16</w:t>
        </w:r>
        <w:r>
          <w:rPr>
            <w:noProof/>
            <w:webHidden/>
          </w:rPr>
          <w:fldChar w:fldCharType="end"/>
        </w:r>
      </w:hyperlink>
    </w:p>
    <w:p w14:paraId="1C714559" w14:textId="0AB48E4E" w:rsidR="007E0DAF" w:rsidRDefault="007E0DAF">
      <w:pPr>
        <w:pStyle w:val="TOC1"/>
        <w:rPr>
          <w:rFonts w:eastAsiaTheme="minorEastAsia" w:cstheme="minorBidi"/>
          <w:b w:val="0"/>
          <w:bCs w:val="0"/>
          <w:caps w:val="0"/>
          <w:noProof/>
          <w:kern w:val="2"/>
          <w:szCs w:val="22"/>
          <w:lang w:val="en-US" w:eastAsia="en-US"/>
          <w14:ligatures w14:val="standardContextual"/>
        </w:rPr>
      </w:pPr>
      <w:hyperlink w:anchor="_Toc187075153" w:history="1">
        <w:r w:rsidRPr="00DE2D7D">
          <w:rPr>
            <w:rStyle w:val="Hyperlink"/>
            <w:rFonts w:cstheme="minorHAnsi"/>
            <w:noProof/>
          </w:rPr>
          <w:t>33. Finansų rinkų priežiūra</w:t>
        </w:r>
        <w:r>
          <w:rPr>
            <w:noProof/>
            <w:webHidden/>
          </w:rPr>
          <w:tab/>
        </w:r>
        <w:r>
          <w:rPr>
            <w:noProof/>
            <w:webHidden/>
          </w:rPr>
          <w:fldChar w:fldCharType="begin"/>
        </w:r>
        <w:r>
          <w:rPr>
            <w:noProof/>
            <w:webHidden/>
          </w:rPr>
          <w:instrText xml:space="preserve"> PAGEREF _Toc187075153 \h </w:instrText>
        </w:r>
        <w:r>
          <w:rPr>
            <w:noProof/>
            <w:webHidden/>
          </w:rPr>
        </w:r>
        <w:r>
          <w:rPr>
            <w:noProof/>
            <w:webHidden/>
          </w:rPr>
          <w:fldChar w:fldCharType="separate"/>
        </w:r>
        <w:r w:rsidR="005B566E">
          <w:rPr>
            <w:noProof/>
            <w:webHidden/>
          </w:rPr>
          <w:t>18</w:t>
        </w:r>
        <w:r>
          <w:rPr>
            <w:noProof/>
            <w:webHidden/>
          </w:rPr>
          <w:fldChar w:fldCharType="end"/>
        </w:r>
      </w:hyperlink>
    </w:p>
    <w:p w14:paraId="407E387B" w14:textId="3808B599" w:rsidR="007E0DAF" w:rsidRDefault="007E0DAF">
      <w:pPr>
        <w:pStyle w:val="TOC2"/>
        <w:rPr>
          <w:rFonts w:eastAsiaTheme="minorEastAsia" w:cstheme="minorBidi"/>
          <w:i w:val="0"/>
          <w:noProof/>
          <w:kern w:val="2"/>
          <w:szCs w:val="22"/>
          <w:lang w:val="en-US" w:eastAsia="en-US"/>
          <w14:ligatures w14:val="standardContextual"/>
        </w:rPr>
      </w:pPr>
      <w:hyperlink w:anchor="_Toc187075154" w:history="1">
        <w:r w:rsidRPr="00DE2D7D">
          <w:rPr>
            <w:rStyle w:val="Hyperlink"/>
            <w:rFonts w:eastAsia="Calibri" w:cstheme="minorHAnsi"/>
            <w:noProof/>
          </w:rPr>
          <w:t>Dėl elektroninių pinigų įstaigos licencijos panaikinimo už finansų rinkos dalyviams taikomų teisės aktų pažeidimus</w:t>
        </w:r>
        <w:r>
          <w:rPr>
            <w:noProof/>
            <w:webHidden/>
          </w:rPr>
          <w:tab/>
        </w:r>
        <w:r>
          <w:rPr>
            <w:noProof/>
            <w:webHidden/>
          </w:rPr>
          <w:fldChar w:fldCharType="begin"/>
        </w:r>
        <w:r>
          <w:rPr>
            <w:noProof/>
            <w:webHidden/>
          </w:rPr>
          <w:instrText xml:space="preserve"> PAGEREF _Toc187075154 \h </w:instrText>
        </w:r>
        <w:r>
          <w:rPr>
            <w:noProof/>
            <w:webHidden/>
          </w:rPr>
        </w:r>
        <w:r>
          <w:rPr>
            <w:noProof/>
            <w:webHidden/>
          </w:rPr>
          <w:fldChar w:fldCharType="separate"/>
        </w:r>
        <w:r w:rsidR="005B566E">
          <w:rPr>
            <w:noProof/>
            <w:webHidden/>
          </w:rPr>
          <w:t>18</w:t>
        </w:r>
        <w:r>
          <w:rPr>
            <w:noProof/>
            <w:webHidden/>
          </w:rPr>
          <w:fldChar w:fldCharType="end"/>
        </w:r>
      </w:hyperlink>
    </w:p>
    <w:p w14:paraId="454995A8" w14:textId="3CDB7764" w:rsidR="007E0DAF" w:rsidRDefault="007E0DAF">
      <w:pPr>
        <w:pStyle w:val="TOC1"/>
        <w:rPr>
          <w:rFonts w:eastAsiaTheme="minorEastAsia" w:cstheme="minorBidi"/>
          <w:b w:val="0"/>
          <w:bCs w:val="0"/>
          <w:caps w:val="0"/>
          <w:noProof/>
          <w:kern w:val="2"/>
          <w:szCs w:val="22"/>
          <w:lang w:val="en-US" w:eastAsia="en-US"/>
          <w14:ligatures w14:val="standardContextual"/>
        </w:rPr>
      </w:pPr>
      <w:hyperlink w:anchor="_Toc187075155" w:history="1">
        <w:r w:rsidRPr="00DE2D7D">
          <w:rPr>
            <w:rStyle w:val="Hyperlink"/>
            <w:rFonts w:cstheme="minorHAnsi"/>
            <w:noProof/>
          </w:rPr>
          <w:t>36. Ginklų ir šaudmenų kontrolė</w:t>
        </w:r>
        <w:r>
          <w:rPr>
            <w:noProof/>
            <w:webHidden/>
          </w:rPr>
          <w:tab/>
        </w:r>
        <w:r>
          <w:rPr>
            <w:noProof/>
            <w:webHidden/>
          </w:rPr>
          <w:fldChar w:fldCharType="begin"/>
        </w:r>
        <w:r>
          <w:rPr>
            <w:noProof/>
            <w:webHidden/>
          </w:rPr>
          <w:instrText xml:space="preserve"> PAGEREF _Toc187075155 \h </w:instrText>
        </w:r>
        <w:r>
          <w:rPr>
            <w:noProof/>
            <w:webHidden/>
          </w:rPr>
        </w:r>
        <w:r>
          <w:rPr>
            <w:noProof/>
            <w:webHidden/>
          </w:rPr>
          <w:fldChar w:fldCharType="separate"/>
        </w:r>
        <w:r w:rsidR="005B566E">
          <w:rPr>
            <w:noProof/>
            <w:webHidden/>
          </w:rPr>
          <w:t>20</w:t>
        </w:r>
        <w:r>
          <w:rPr>
            <w:noProof/>
            <w:webHidden/>
          </w:rPr>
          <w:fldChar w:fldCharType="end"/>
        </w:r>
      </w:hyperlink>
    </w:p>
    <w:p w14:paraId="32FF391B" w14:textId="2E3C2F00" w:rsidR="007E0DAF" w:rsidRDefault="007E0DAF">
      <w:pPr>
        <w:pStyle w:val="TOC2"/>
        <w:rPr>
          <w:rFonts w:eastAsiaTheme="minorEastAsia" w:cstheme="minorBidi"/>
          <w:i w:val="0"/>
          <w:noProof/>
          <w:kern w:val="2"/>
          <w:szCs w:val="22"/>
          <w:lang w:val="en-US" w:eastAsia="en-US"/>
          <w14:ligatures w14:val="standardContextual"/>
        </w:rPr>
      </w:pPr>
      <w:hyperlink w:anchor="_Toc187075156" w:history="1">
        <w:r w:rsidRPr="00DE2D7D">
          <w:rPr>
            <w:rStyle w:val="Hyperlink"/>
            <w:rFonts w:eastAsia="Calibri" w:cstheme="minorHAnsi"/>
            <w:noProof/>
          </w:rPr>
          <w:t xml:space="preserve">Dėl </w:t>
        </w:r>
        <w:r w:rsidRPr="00DE2D7D">
          <w:rPr>
            <w:rStyle w:val="Hyperlink"/>
            <w:rFonts w:eastAsia="Calibri"/>
            <w:noProof/>
          </w:rPr>
          <w:t>reikalavimo panaikinti leidimą laikyti ir nešiotis ginklus imperatyvaus pobūdžio</w:t>
        </w:r>
        <w:r>
          <w:rPr>
            <w:noProof/>
            <w:webHidden/>
          </w:rPr>
          <w:tab/>
        </w:r>
        <w:r>
          <w:rPr>
            <w:noProof/>
            <w:webHidden/>
          </w:rPr>
          <w:fldChar w:fldCharType="begin"/>
        </w:r>
        <w:r>
          <w:rPr>
            <w:noProof/>
            <w:webHidden/>
          </w:rPr>
          <w:instrText xml:space="preserve"> PAGEREF _Toc187075156 \h </w:instrText>
        </w:r>
        <w:r>
          <w:rPr>
            <w:noProof/>
            <w:webHidden/>
          </w:rPr>
        </w:r>
        <w:r>
          <w:rPr>
            <w:noProof/>
            <w:webHidden/>
          </w:rPr>
          <w:fldChar w:fldCharType="separate"/>
        </w:r>
        <w:r w:rsidR="005B566E">
          <w:rPr>
            <w:noProof/>
            <w:webHidden/>
          </w:rPr>
          <w:t>20</w:t>
        </w:r>
        <w:r>
          <w:rPr>
            <w:noProof/>
            <w:webHidden/>
          </w:rPr>
          <w:fldChar w:fldCharType="end"/>
        </w:r>
      </w:hyperlink>
    </w:p>
    <w:p w14:paraId="043E89F1" w14:textId="23834B78" w:rsidR="007E0DAF" w:rsidRDefault="007E0DAF">
      <w:pPr>
        <w:pStyle w:val="TOC1"/>
        <w:rPr>
          <w:rFonts w:eastAsiaTheme="minorEastAsia" w:cstheme="minorBidi"/>
          <w:b w:val="0"/>
          <w:bCs w:val="0"/>
          <w:caps w:val="0"/>
          <w:noProof/>
          <w:kern w:val="2"/>
          <w:szCs w:val="22"/>
          <w:lang w:val="en-US" w:eastAsia="en-US"/>
          <w14:ligatures w14:val="standardContextual"/>
        </w:rPr>
      </w:pPr>
      <w:hyperlink w:anchor="_Toc187075157" w:history="1">
        <w:r w:rsidRPr="00DE2D7D">
          <w:rPr>
            <w:rStyle w:val="Hyperlink"/>
            <w:rFonts w:cstheme="minorHAnsi"/>
            <w:noProof/>
          </w:rPr>
          <w:t>41. Kiti ginčai viešojo administravimo srityje</w:t>
        </w:r>
        <w:r>
          <w:rPr>
            <w:noProof/>
            <w:webHidden/>
          </w:rPr>
          <w:tab/>
        </w:r>
        <w:r>
          <w:rPr>
            <w:noProof/>
            <w:webHidden/>
          </w:rPr>
          <w:fldChar w:fldCharType="begin"/>
        </w:r>
        <w:r>
          <w:rPr>
            <w:noProof/>
            <w:webHidden/>
          </w:rPr>
          <w:instrText xml:space="preserve"> PAGEREF _Toc187075157 \h </w:instrText>
        </w:r>
        <w:r>
          <w:rPr>
            <w:noProof/>
            <w:webHidden/>
          </w:rPr>
        </w:r>
        <w:r>
          <w:rPr>
            <w:noProof/>
            <w:webHidden/>
          </w:rPr>
          <w:fldChar w:fldCharType="separate"/>
        </w:r>
        <w:r w:rsidR="005B566E">
          <w:rPr>
            <w:noProof/>
            <w:webHidden/>
          </w:rPr>
          <w:t>21</w:t>
        </w:r>
        <w:r>
          <w:rPr>
            <w:noProof/>
            <w:webHidden/>
          </w:rPr>
          <w:fldChar w:fldCharType="end"/>
        </w:r>
      </w:hyperlink>
    </w:p>
    <w:p w14:paraId="6E3EA0D0" w14:textId="4CC00AE1" w:rsidR="007E0DAF" w:rsidRDefault="007E0DAF">
      <w:pPr>
        <w:pStyle w:val="TOC1"/>
        <w:rPr>
          <w:rFonts w:eastAsiaTheme="minorEastAsia" w:cstheme="minorBidi"/>
          <w:b w:val="0"/>
          <w:bCs w:val="0"/>
          <w:caps w:val="0"/>
          <w:noProof/>
          <w:kern w:val="2"/>
          <w:szCs w:val="22"/>
          <w:lang w:val="en-US" w:eastAsia="en-US"/>
          <w14:ligatures w14:val="standardContextual"/>
        </w:rPr>
      </w:pPr>
      <w:hyperlink w:anchor="_Toc187075158" w:history="1">
        <w:r w:rsidRPr="00DE2D7D">
          <w:rPr>
            <w:rStyle w:val="Hyperlink"/>
            <w:rFonts w:cstheme="minorHAnsi"/>
            <w:noProof/>
          </w:rPr>
          <w:t>II. Administracinių bylų teisena</w:t>
        </w:r>
        <w:r>
          <w:rPr>
            <w:noProof/>
            <w:webHidden/>
          </w:rPr>
          <w:tab/>
        </w:r>
        <w:r>
          <w:rPr>
            <w:noProof/>
            <w:webHidden/>
          </w:rPr>
          <w:fldChar w:fldCharType="begin"/>
        </w:r>
        <w:r>
          <w:rPr>
            <w:noProof/>
            <w:webHidden/>
          </w:rPr>
          <w:instrText xml:space="preserve"> PAGEREF _Toc187075158 \h </w:instrText>
        </w:r>
        <w:r>
          <w:rPr>
            <w:noProof/>
            <w:webHidden/>
          </w:rPr>
        </w:r>
        <w:r>
          <w:rPr>
            <w:noProof/>
            <w:webHidden/>
          </w:rPr>
          <w:fldChar w:fldCharType="separate"/>
        </w:r>
        <w:r w:rsidR="005B566E">
          <w:rPr>
            <w:noProof/>
            <w:webHidden/>
          </w:rPr>
          <w:t>22</w:t>
        </w:r>
        <w:r>
          <w:rPr>
            <w:noProof/>
            <w:webHidden/>
          </w:rPr>
          <w:fldChar w:fldCharType="end"/>
        </w:r>
      </w:hyperlink>
    </w:p>
    <w:p w14:paraId="73AC4997" w14:textId="62DA9C2A" w:rsidR="007E0DAF" w:rsidRDefault="007E0DAF">
      <w:pPr>
        <w:pStyle w:val="TOC1"/>
        <w:rPr>
          <w:rFonts w:eastAsiaTheme="minorEastAsia" w:cstheme="minorBidi"/>
          <w:b w:val="0"/>
          <w:bCs w:val="0"/>
          <w:caps w:val="0"/>
          <w:noProof/>
          <w:kern w:val="2"/>
          <w:szCs w:val="22"/>
          <w:lang w:val="en-US" w:eastAsia="en-US"/>
          <w14:ligatures w14:val="standardContextual"/>
        </w:rPr>
      </w:pPr>
      <w:hyperlink w:anchor="_Toc187075159" w:history="1">
        <w:r w:rsidRPr="00DE2D7D">
          <w:rPr>
            <w:rStyle w:val="Hyperlink"/>
            <w:rFonts w:cstheme="minorHAnsi"/>
            <w:noProof/>
          </w:rPr>
          <w:t>43. Teisė kreiptis į teismą ir jos realizavimas</w:t>
        </w:r>
        <w:r>
          <w:rPr>
            <w:noProof/>
            <w:webHidden/>
          </w:rPr>
          <w:tab/>
        </w:r>
        <w:r>
          <w:rPr>
            <w:noProof/>
            <w:webHidden/>
          </w:rPr>
          <w:fldChar w:fldCharType="begin"/>
        </w:r>
        <w:r>
          <w:rPr>
            <w:noProof/>
            <w:webHidden/>
          </w:rPr>
          <w:instrText xml:space="preserve"> PAGEREF _Toc187075159 \h </w:instrText>
        </w:r>
        <w:r>
          <w:rPr>
            <w:noProof/>
            <w:webHidden/>
          </w:rPr>
        </w:r>
        <w:r>
          <w:rPr>
            <w:noProof/>
            <w:webHidden/>
          </w:rPr>
          <w:fldChar w:fldCharType="separate"/>
        </w:r>
        <w:r w:rsidR="005B566E">
          <w:rPr>
            <w:noProof/>
            <w:webHidden/>
          </w:rPr>
          <w:t>22</w:t>
        </w:r>
        <w:r>
          <w:rPr>
            <w:noProof/>
            <w:webHidden/>
          </w:rPr>
          <w:fldChar w:fldCharType="end"/>
        </w:r>
      </w:hyperlink>
    </w:p>
    <w:p w14:paraId="339013C7" w14:textId="2F8CFB2B" w:rsidR="007E0DAF" w:rsidRDefault="007E0DAF">
      <w:pPr>
        <w:pStyle w:val="TOC2"/>
        <w:rPr>
          <w:rFonts w:eastAsiaTheme="minorEastAsia" w:cstheme="minorBidi"/>
          <w:i w:val="0"/>
          <w:noProof/>
          <w:kern w:val="2"/>
          <w:szCs w:val="22"/>
          <w:lang w:val="en-US" w:eastAsia="en-US"/>
          <w14:ligatures w14:val="standardContextual"/>
        </w:rPr>
      </w:pPr>
      <w:hyperlink w:anchor="_Toc187075160" w:history="1">
        <w:r w:rsidRPr="00DE2D7D">
          <w:rPr>
            <w:rStyle w:val="Hyperlink"/>
            <w:rFonts w:eastAsia="Calibri" w:cstheme="minorHAnsi"/>
            <w:noProof/>
          </w:rPr>
          <w:t>Dėl savivaldybės tarybos sprendimo dėl mokyklų reorganizavimo vertinimo kaip individualaus administracinio akto</w:t>
        </w:r>
        <w:r>
          <w:rPr>
            <w:noProof/>
            <w:webHidden/>
          </w:rPr>
          <w:tab/>
        </w:r>
        <w:r>
          <w:rPr>
            <w:noProof/>
            <w:webHidden/>
          </w:rPr>
          <w:fldChar w:fldCharType="begin"/>
        </w:r>
        <w:r>
          <w:rPr>
            <w:noProof/>
            <w:webHidden/>
          </w:rPr>
          <w:instrText xml:space="preserve"> PAGEREF _Toc187075160 \h </w:instrText>
        </w:r>
        <w:r>
          <w:rPr>
            <w:noProof/>
            <w:webHidden/>
          </w:rPr>
        </w:r>
        <w:r>
          <w:rPr>
            <w:noProof/>
            <w:webHidden/>
          </w:rPr>
          <w:fldChar w:fldCharType="separate"/>
        </w:r>
        <w:r w:rsidR="005B566E">
          <w:rPr>
            <w:noProof/>
            <w:webHidden/>
          </w:rPr>
          <w:t>22</w:t>
        </w:r>
        <w:r>
          <w:rPr>
            <w:noProof/>
            <w:webHidden/>
          </w:rPr>
          <w:fldChar w:fldCharType="end"/>
        </w:r>
      </w:hyperlink>
    </w:p>
    <w:p w14:paraId="39537EC1" w14:textId="7D5CDCE2" w:rsidR="007E0DAF" w:rsidRDefault="007E0DAF">
      <w:pPr>
        <w:pStyle w:val="TOC2"/>
        <w:rPr>
          <w:rFonts w:eastAsiaTheme="minorEastAsia" w:cstheme="minorBidi"/>
          <w:i w:val="0"/>
          <w:noProof/>
          <w:kern w:val="2"/>
          <w:szCs w:val="22"/>
          <w:lang w:val="en-US" w:eastAsia="en-US"/>
          <w14:ligatures w14:val="standardContextual"/>
        </w:rPr>
      </w:pPr>
      <w:hyperlink w:anchor="_Toc187075161" w:history="1">
        <w:r w:rsidRPr="00DE2D7D">
          <w:rPr>
            <w:rStyle w:val="Hyperlink"/>
            <w:rFonts w:eastAsia="Calibri" w:cstheme="minorHAnsi"/>
            <w:noProof/>
          </w:rPr>
          <w:t>Dėl galimybės teismui pratęsti Mokestinių ginčų komisijos sprendimo apskundimo terminą</w:t>
        </w:r>
        <w:r>
          <w:rPr>
            <w:noProof/>
            <w:webHidden/>
          </w:rPr>
          <w:tab/>
        </w:r>
        <w:r>
          <w:rPr>
            <w:noProof/>
            <w:webHidden/>
          </w:rPr>
          <w:fldChar w:fldCharType="begin"/>
        </w:r>
        <w:r>
          <w:rPr>
            <w:noProof/>
            <w:webHidden/>
          </w:rPr>
          <w:instrText xml:space="preserve"> PAGEREF _Toc187075161 \h </w:instrText>
        </w:r>
        <w:r>
          <w:rPr>
            <w:noProof/>
            <w:webHidden/>
          </w:rPr>
        </w:r>
        <w:r>
          <w:rPr>
            <w:noProof/>
            <w:webHidden/>
          </w:rPr>
          <w:fldChar w:fldCharType="separate"/>
        </w:r>
        <w:r w:rsidR="005B566E">
          <w:rPr>
            <w:noProof/>
            <w:webHidden/>
          </w:rPr>
          <w:t>22</w:t>
        </w:r>
        <w:r>
          <w:rPr>
            <w:noProof/>
            <w:webHidden/>
          </w:rPr>
          <w:fldChar w:fldCharType="end"/>
        </w:r>
      </w:hyperlink>
    </w:p>
    <w:p w14:paraId="53327433" w14:textId="0E00BFC3" w:rsidR="007E0DAF" w:rsidRDefault="007E0DAF">
      <w:pPr>
        <w:pStyle w:val="TOC2"/>
        <w:rPr>
          <w:rFonts w:eastAsiaTheme="minorEastAsia" w:cstheme="minorBidi"/>
          <w:i w:val="0"/>
          <w:noProof/>
          <w:kern w:val="2"/>
          <w:szCs w:val="22"/>
          <w:lang w:val="en-US" w:eastAsia="en-US"/>
          <w14:ligatures w14:val="standardContextual"/>
        </w:rPr>
      </w:pPr>
      <w:hyperlink w:anchor="_Toc187075162" w:history="1">
        <w:r w:rsidRPr="00DE2D7D">
          <w:rPr>
            <w:rStyle w:val="Hyperlink"/>
            <w:rFonts w:eastAsia="Calibri" w:cstheme="minorHAnsi"/>
            <w:noProof/>
          </w:rPr>
          <w:t>Dėl galimybės įvertinti administracinio sprendimo apskundimo termino praleidimą, byloje nesant pateikto skundžiamo akto</w:t>
        </w:r>
        <w:r>
          <w:rPr>
            <w:noProof/>
            <w:webHidden/>
          </w:rPr>
          <w:tab/>
        </w:r>
        <w:r>
          <w:rPr>
            <w:noProof/>
            <w:webHidden/>
          </w:rPr>
          <w:fldChar w:fldCharType="begin"/>
        </w:r>
        <w:r>
          <w:rPr>
            <w:noProof/>
            <w:webHidden/>
          </w:rPr>
          <w:instrText xml:space="preserve"> PAGEREF _Toc187075162 \h </w:instrText>
        </w:r>
        <w:r>
          <w:rPr>
            <w:noProof/>
            <w:webHidden/>
          </w:rPr>
        </w:r>
        <w:r>
          <w:rPr>
            <w:noProof/>
            <w:webHidden/>
          </w:rPr>
          <w:fldChar w:fldCharType="separate"/>
        </w:r>
        <w:r w:rsidR="005B566E">
          <w:rPr>
            <w:noProof/>
            <w:webHidden/>
          </w:rPr>
          <w:t>23</w:t>
        </w:r>
        <w:r>
          <w:rPr>
            <w:noProof/>
            <w:webHidden/>
          </w:rPr>
          <w:fldChar w:fldCharType="end"/>
        </w:r>
      </w:hyperlink>
    </w:p>
    <w:p w14:paraId="51A0AA4F" w14:textId="3FE05D7E" w:rsidR="007E0DAF" w:rsidRDefault="007E0DAF">
      <w:pPr>
        <w:pStyle w:val="TOC1"/>
        <w:rPr>
          <w:rFonts w:eastAsiaTheme="minorEastAsia" w:cstheme="minorBidi"/>
          <w:b w:val="0"/>
          <w:bCs w:val="0"/>
          <w:caps w:val="0"/>
          <w:noProof/>
          <w:kern w:val="2"/>
          <w:szCs w:val="22"/>
          <w:lang w:val="en-US" w:eastAsia="en-US"/>
          <w14:ligatures w14:val="standardContextual"/>
        </w:rPr>
      </w:pPr>
      <w:hyperlink w:anchor="_Toc187075163" w:history="1">
        <w:r w:rsidRPr="00DE2D7D">
          <w:rPr>
            <w:rStyle w:val="Hyperlink"/>
            <w:rFonts w:cstheme="minorHAnsi"/>
            <w:noProof/>
          </w:rPr>
          <w:t>49. Reikalavimo užtikrinimo priemonių taikymas</w:t>
        </w:r>
        <w:r>
          <w:rPr>
            <w:noProof/>
            <w:webHidden/>
          </w:rPr>
          <w:tab/>
        </w:r>
        <w:r>
          <w:rPr>
            <w:noProof/>
            <w:webHidden/>
          </w:rPr>
          <w:fldChar w:fldCharType="begin"/>
        </w:r>
        <w:r>
          <w:rPr>
            <w:noProof/>
            <w:webHidden/>
          </w:rPr>
          <w:instrText xml:space="preserve"> PAGEREF _Toc187075163 \h </w:instrText>
        </w:r>
        <w:r>
          <w:rPr>
            <w:noProof/>
            <w:webHidden/>
          </w:rPr>
        </w:r>
        <w:r>
          <w:rPr>
            <w:noProof/>
            <w:webHidden/>
          </w:rPr>
          <w:fldChar w:fldCharType="separate"/>
        </w:r>
        <w:r w:rsidR="005B566E">
          <w:rPr>
            <w:noProof/>
            <w:webHidden/>
          </w:rPr>
          <w:t>23</w:t>
        </w:r>
        <w:r>
          <w:rPr>
            <w:noProof/>
            <w:webHidden/>
          </w:rPr>
          <w:fldChar w:fldCharType="end"/>
        </w:r>
      </w:hyperlink>
    </w:p>
    <w:p w14:paraId="1BB2741D" w14:textId="5B47C0CF" w:rsidR="007E0DAF" w:rsidRDefault="007E0DAF">
      <w:pPr>
        <w:pStyle w:val="TOC2"/>
        <w:rPr>
          <w:rFonts w:eastAsiaTheme="minorEastAsia" w:cstheme="minorBidi"/>
          <w:i w:val="0"/>
          <w:noProof/>
          <w:kern w:val="2"/>
          <w:szCs w:val="22"/>
          <w:lang w:val="en-US" w:eastAsia="en-US"/>
          <w14:ligatures w14:val="standardContextual"/>
        </w:rPr>
      </w:pPr>
      <w:hyperlink w:anchor="_Toc187075164" w:history="1">
        <w:r w:rsidRPr="00DE2D7D">
          <w:rPr>
            <w:rStyle w:val="Hyperlink"/>
            <w:rFonts w:eastAsia="Calibri" w:cstheme="minorHAnsi"/>
            <w:noProof/>
          </w:rPr>
          <w:t>Dėl reikalavimo užtikrinimo priemonės – uždraudimo grąžinti ir / ar išsiųsti užsienietį iš Lietuvos Respublikos – taikymo nagrinėjant bylą dėl leidimo laikinai gyventi Lietuvos Respublikoje panaikinimo teisėtumo</w:t>
        </w:r>
        <w:r>
          <w:rPr>
            <w:noProof/>
            <w:webHidden/>
          </w:rPr>
          <w:tab/>
        </w:r>
        <w:r>
          <w:rPr>
            <w:noProof/>
            <w:webHidden/>
          </w:rPr>
          <w:fldChar w:fldCharType="begin"/>
        </w:r>
        <w:r>
          <w:rPr>
            <w:noProof/>
            <w:webHidden/>
          </w:rPr>
          <w:instrText xml:space="preserve"> PAGEREF _Toc187075164 \h </w:instrText>
        </w:r>
        <w:r>
          <w:rPr>
            <w:noProof/>
            <w:webHidden/>
          </w:rPr>
        </w:r>
        <w:r>
          <w:rPr>
            <w:noProof/>
            <w:webHidden/>
          </w:rPr>
          <w:fldChar w:fldCharType="separate"/>
        </w:r>
        <w:r w:rsidR="005B566E">
          <w:rPr>
            <w:noProof/>
            <w:webHidden/>
          </w:rPr>
          <w:t>24</w:t>
        </w:r>
        <w:r>
          <w:rPr>
            <w:noProof/>
            <w:webHidden/>
          </w:rPr>
          <w:fldChar w:fldCharType="end"/>
        </w:r>
      </w:hyperlink>
    </w:p>
    <w:p w14:paraId="281D4717" w14:textId="61C94D52" w:rsidR="007E0DAF" w:rsidRDefault="007E0DAF">
      <w:pPr>
        <w:pStyle w:val="TOC1"/>
        <w:rPr>
          <w:rFonts w:eastAsiaTheme="minorEastAsia" w:cstheme="minorBidi"/>
          <w:b w:val="0"/>
          <w:bCs w:val="0"/>
          <w:caps w:val="0"/>
          <w:noProof/>
          <w:kern w:val="2"/>
          <w:szCs w:val="22"/>
          <w:lang w:val="en-US" w:eastAsia="en-US"/>
          <w14:ligatures w14:val="standardContextual"/>
        </w:rPr>
      </w:pPr>
      <w:hyperlink w:anchor="_Toc187075165" w:history="1">
        <w:r w:rsidRPr="00DE2D7D">
          <w:rPr>
            <w:rStyle w:val="Hyperlink"/>
            <w:rFonts w:cstheme="minorHAnsi"/>
            <w:noProof/>
          </w:rPr>
          <w:t>52. Bylos nagrinėjimo sustabdymas ir atnaujinimas</w:t>
        </w:r>
        <w:r>
          <w:rPr>
            <w:noProof/>
            <w:webHidden/>
          </w:rPr>
          <w:tab/>
        </w:r>
        <w:r>
          <w:rPr>
            <w:noProof/>
            <w:webHidden/>
          </w:rPr>
          <w:fldChar w:fldCharType="begin"/>
        </w:r>
        <w:r>
          <w:rPr>
            <w:noProof/>
            <w:webHidden/>
          </w:rPr>
          <w:instrText xml:space="preserve"> PAGEREF _Toc187075165 \h </w:instrText>
        </w:r>
        <w:r>
          <w:rPr>
            <w:noProof/>
            <w:webHidden/>
          </w:rPr>
        </w:r>
        <w:r>
          <w:rPr>
            <w:noProof/>
            <w:webHidden/>
          </w:rPr>
          <w:fldChar w:fldCharType="separate"/>
        </w:r>
        <w:r w:rsidR="005B566E">
          <w:rPr>
            <w:noProof/>
            <w:webHidden/>
          </w:rPr>
          <w:t>24</w:t>
        </w:r>
        <w:r>
          <w:rPr>
            <w:noProof/>
            <w:webHidden/>
          </w:rPr>
          <w:fldChar w:fldCharType="end"/>
        </w:r>
      </w:hyperlink>
    </w:p>
    <w:p w14:paraId="063D0CEF" w14:textId="077311C0" w:rsidR="007E0DAF" w:rsidRDefault="007E0DAF">
      <w:pPr>
        <w:pStyle w:val="TOC2"/>
        <w:rPr>
          <w:rFonts w:eastAsiaTheme="minorEastAsia" w:cstheme="minorBidi"/>
          <w:i w:val="0"/>
          <w:noProof/>
          <w:kern w:val="2"/>
          <w:szCs w:val="22"/>
          <w:lang w:val="en-US" w:eastAsia="en-US"/>
          <w14:ligatures w14:val="standardContextual"/>
        </w:rPr>
      </w:pPr>
      <w:hyperlink w:anchor="_Toc187075166" w:history="1">
        <w:r w:rsidRPr="00DE2D7D">
          <w:rPr>
            <w:rStyle w:val="Hyperlink"/>
            <w:rFonts w:eastAsia="Calibri" w:cstheme="minorHAnsi"/>
            <w:noProof/>
          </w:rPr>
          <w:t>Dėl konkuruojančių procesinių prašymų – bylos stabdymas neišsprendus prašymo bylas sujungti</w:t>
        </w:r>
        <w:r>
          <w:rPr>
            <w:noProof/>
            <w:webHidden/>
          </w:rPr>
          <w:tab/>
        </w:r>
        <w:r>
          <w:rPr>
            <w:noProof/>
            <w:webHidden/>
          </w:rPr>
          <w:fldChar w:fldCharType="begin"/>
        </w:r>
        <w:r>
          <w:rPr>
            <w:noProof/>
            <w:webHidden/>
          </w:rPr>
          <w:instrText xml:space="preserve"> PAGEREF _Toc187075166 \h </w:instrText>
        </w:r>
        <w:r>
          <w:rPr>
            <w:noProof/>
            <w:webHidden/>
          </w:rPr>
        </w:r>
        <w:r>
          <w:rPr>
            <w:noProof/>
            <w:webHidden/>
          </w:rPr>
          <w:fldChar w:fldCharType="separate"/>
        </w:r>
        <w:r w:rsidR="005B566E">
          <w:rPr>
            <w:noProof/>
            <w:webHidden/>
          </w:rPr>
          <w:t>25</w:t>
        </w:r>
        <w:r>
          <w:rPr>
            <w:noProof/>
            <w:webHidden/>
          </w:rPr>
          <w:fldChar w:fldCharType="end"/>
        </w:r>
      </w:hyperlink>
    </w:p>
    <w:p w14:paraId="6F25DC8D" w14:textId="1B24BD35" w:rsidR="007E0DAF" w:rsidRDefault="007E0DAF">
      <w:pPr>
        <w:pStyle w:val="TOC1"/>
        <w:rPr>
          <w:rFonts w:eastAsiaTheme="minorEastAsia" w:cstheme="minorBidi"/>
          <w:b w:val="0"/>
          <w:bCs w:val="0"/>
          <w:caps w:val="0"/>
          <w:noProof/>
          <w:kern w:val="2"/>
          <w:szCs w:val="22"/>
          <w:lang w:val="en-US" w:eastAsia="en-US"/>
          <w14:ligatures w14:val="standardContextual"/>
        </w:rPr>
      </w:pPr>
      <w:hyperlink w:anchor="_Toc187075167" w:history="1">
        <w:r w:rsidRPr="00DE2D7D">
          <w:rPr>
            <w:rStyle w:val="Hyperlink"/>
            <w:rFonts w:cstheme="minorHAnsi"/>
            <w:noProof/>
          </w:rPr>
          <w:t>55. Teismo procesiniai dokumentai</w:t>
        </w:r>
        <w:r>
          <w:rPr>
            <w:noProof/>
            <w:webHidden/>
          </w:rPr>
          <w:tab/>
        </w:r>
        <w:r>
          <w:rPr>
            <w:noProof/>
            <w:webHidden/>
          </w:rPr>
          <w:fldChar w:fldCharType="begin"/>
        </w:r>
        <w:r>
          <w:rPr>
            <w:noProof/>
            <w:webHidden/>
          </w:rPr>
          <w:instrText xml:space="preserve"> PAGEREF _Toc187075167 \h </w:instrText>
        </w:r>
        <w:r>
          <w:rPr>
            <w:noProof/>
            <w:webHidden/>
          </w:rPr>
        </w:r>
        <w:r>
          <w:rPr>
            <w:noProof/>
            <w:webHidden/>
          </w:rPr>
          <w:fldChar w:fldCharType="separate"/>
        </w:r>
        <w:r w:rsidR="005B566E">
          <w:rPr>
            <w:noProof/>
            <w:webHidden/>
          </w:rPr>
          <w:t>25</w:t>
        </w:r>
        <w:r>
          <w:rPr>
            <w:noProof/>
            <w:webHidden/>
          </w:rPr>
          <w:fldChar w:fldCharType="end"/>
        </w:r>
      </w:hyperlink>
    </w:p>
    <w:p w14:paraId="1A8B021D" w14:textId="7572E451" w:rsidR="007E0DAF" w:rsidRDefault="007E0DAF">
      <w:pPr>
        <w:pStyle w:val="TOC2"/>
        <w:rPr>
          <w:rFonts w:eastAsiaTheme="minorEastAsia" w:cstheme="minorBidi"/>
          <w:i w:val="0"/>
          <w:noProof/>
          <w:kern w:val="2"/>
          <w:szCs w:val="22"/>
          <w:lang w:val="en-US" w:eastAsia="en-US"/>
          <w14:ligatures w14:val="standardContextual"/>
        </w:rPr>
      </w:pPr>
      <w:hyperlink w:anchor="_Toc187075168" w:history="1">
        <w:r w:rsidRPr="00DE2D7D">
          <w:rPr>
            <w:rStyle w:val="Hyperlink"/>
            <w:rFonts w:eastAsia="Calibri" w:cstheme="minorHAnsi"/>
            <w:noProof/>
          </w:rPr>
          <w:t>Dėl teismo sprendimo išaiškinimo instituto netaikymo negalutinių nutarčių išaiškinimui</w:t>
        </w:r>
        <w:r>
          <w:rPr>
            <w:noProof/>
            <w:webHidden/>
          </w:rPr>
          <w:tab/>
        </w:r>
        <w:r>
          <w:rPr>
            <w:noProof/>
            <w:webHidden/>
          </w:rPr>
          <w:fldChar w:fldCharType="begin"/>
        </w:r>
        <w:r>
          <w:rPr>
            <w:noProof/>
            <w:webHidden/>
          </w:rPr>
          <w:instrText xml:space="preserve"> PAGEREF _Toc187075168 \h </w:instrText>
        </w:r>
        <w:r>
          <w:rPr>
            <w:noProof/>
            <w:webHidden/>
          </w:rPr>
        </w:r>
        <w:r>
          <w:rPr>
            <w:noProof/>
            <w:webHidden/>
          </w:rPr>
          <w:fldChar w:fldCharType="separate"/>
        </w:r>
        <w:r w:rsidR="005B566E">
          <w:rPr>
            <w:noProof/>
            <w:webHidden/>
          </w:rPr>
          <w:t>25</w:t>
        </w:r>
        <w:r>
          <w:rPr>
            <w:noProof/>
            <w:webHidden/>
          </w:rPr>
          <w:fldChar w:fldCharType="end"/>
        </w:r>
      </w:hyperlink>
    </w:p>
    <w:p w14:paraId="61DCD3CC" w14:textId="52C57B76" w:rsidR="007E0DAF" w:rsidRDefault="007E0DAF">
      <w:pPr>
        <w:pStyle w:val="TOC1"/>
        <w:rPr>
          <w:rFonts w:eastAsiaTheme="minorEastAsia" w:cstheme="minorBidi"/>
          <w:b w:val="0"/>
          <w:bCs w:val="0"/>
          <w:caps w:val="0"/>
          <w:noProof/>
          <w:kern w:val="2"/>
          <w:szCs w:val="22"/>
          <w:lang w:val="en-US" w:eastAsia="en-US"/>
          <w14:ligatures w14:val="standardContextual"/>
        </w:rPr>
      </w:pPr>
      <w:hyperlink w:anchor="_Toc187075169" w:history="1">
        <w:r w:rsidRPr="00DE2D7D">
          <w:rPr>
            <w:rStyle w:val="Hyperlink"/>
            <w:rFonts w:cstheme="minorHAnsi"/>
            <w:noProof/>
          </w:rPr>
          <w:t>57. Bylos nagrinėjimo išlaidos</w:t>
        </w:r>
        <w:r>
          <w:rPr>
            <w:noProof/>
            <w:webHidden/>
          </w:rPr>
          <w:tab/>
        </w:r>
        <w:r>
          <w:rPr>
            <w:noProof/>
            <w:webHidden/>
          </w:rPr>
          <w:fldChar w:fldCharType="begin"/>
        </w:r>
        <w:r>
          <w:rPr>
            <w:noProof/>
            <w:webHidden/>
          </w:rPr>
          <w:instrText xml:space="preserve"> PAGEREF _Toc187075169 \h </w:instrText>
        </w:r>
        <w:r>
          <w:rPr>
            <w:noProof/>
            <w:webHidden/>
          </w:rPr>
        </w:r>
        <w:r>
          <w:rPr>
            <w:noProof/>
            <w:webHidden/>
          </w:rPr>
          <w:fldChar w:fldCharType="separate"/>
        </w:r>
        <w:r w:rsidR="005B566E">
          <w:rPr>
            <w:noProof/>
            <w:webHidden/>
          </w:rPr>
          <w:t>26</w:t>
        </w:r>
        <w:r>
          <w:rPr>
            <w:noProof/>
            <w:webHidden/>
          </w:rPr>
          <w:fldChar w:fldCharType="end"/>
        </w:r>
      </w:hyperlink>
    </w:p>
    <w:p w14:paraId="6FB61AF7" w14:textId="0B37CD56" w:rsidR="007E0DAF" w:rsidRDefault="007E0DAF">
      <w:pPr>
        <w:pStyle w:val="TOC2"/>
        <w:rPr>
          <w:rFonts w:eastAsiaTheme="minorEastAsia" w:cstheme="minorBidi"/>
          <w:i w:val="0"/>
          <w:noProof/>
          <w:kern w:val="2"/>
          <w:szCs w:val="22"/>
          <w:lang w:val="en-US" w:eastAsia="en-US"/>
          <w14:ligatures w14:val="standardContextual"/>
        </w:rPr>
      </w:pPr>
      <w:hyperlink w:anchor="_Toc187075170" w:history="1">
        <w:r w:rsidRPr="00DE2D7D">
          <w:rPr>
            <w:rStyle w:val="Hyperlink"/>
            <w:rFonts w:eastAsia="Calibri" w:cstheme="minorHAnsi"/>
            <w:noProof/>
          </w:rPr>
          <w:t>Dėl naudojimosi procesinėmis teisėmis nelaikymo piktnaudžiavimu procesinėmis teisėmis</w:t>
        </w:r>
        <w:r>
          <w:rPr>
            <w:noProof/>
            <w:webHidden/>
          </w:rPr>
          <w:tab/>
        </w:r>
        <w:r>
          <w:rPr>
            <w:noProof/>
            <w:webHidden/>
          </w:rPr>
          <w:fldChar w:fldCharType="begin"/>
        </w:r>
        <w:r>
          <w:rPr>
            <w:noProof/>
            <w:webHidden/>
          </w:rPr>
          <w:instrText xml:space="preserve"> PAGEREF _Toc187075170 \h </w:instrText>
        </w:r>
        <w:r>
          <w:rPr>
            <w:noProof/>
            <w:webHidden/>
          </w:rPr>
        </w:r>
        <w:r>
          <w:rPr>
            <w:noProof/>
            <w:webHidden/>
          </w:rPr>
          <w:fldChar w:fldCharType="separate"/>
        </w:r>
        <w:r w:rsidR="005B566E">
          <w:rPr>
            <w:noProof/>
            <w:webHidden/>
          </w:rPr>
          <w:t>26</w:t>
        </w:r>
        <w:r>
          <w:rPr>
            <w:noProof/>
            <w:webHidden/>
          </w:rPr>
          <w:fldChar w:fldCharType="end"/>
        </w:r>
      </w:hyperlink>
    </w:p>
    <w:p w14:paraId="3835581D" w14:textId="32656896" w:rsidR="007E0DAF" w:rsidRDefault="007E0DAF">
      <w:pPr>
        <w:pStyle w:val="TOC1"/>
        <w:rPr>
          <w:rFonts w:eastAsiaTheme="minorEastAsia" w:cstheme="minorBidi"/>
          <w:b w:val="0"/>
          <w:bCs w:val="0"/>
          <w:caps w:val="0"/>
          <w:noProof/>
          <w:kern w:val="2"/>
          <w:szCs w:val="22"/>
          <w:lang w:val="en-US" w:eastAsia="en-US"/>
          <w14:ligatures w14:val="standardContextual"/>
        </w:rPr>
      </w:pPr>
      <w:hyperlink w:anchor="_Toc187075171" w:history="1">
        <w:r w:rsidRPr="00DE2D7D">
          <w:rPr>
            <w:rStyle w:val="Hyperlink"/>
            <w:rFonts w:cstheme="minorHAnsi"/>
            <w:noProof/>
          </w:rPr>
          <w:t>60. Proceso atnaujinimas administracinėje byloje</w:t>
        </w:r>
        <w:r>
          <w:rPr>
            <w:noProof/>
            <w:webHidden/>
          </w:rPr>
          <w:tab/>
        </w:r>
        <w:r>
          <w:rPr>
            <w:noProof/>
            <w:webHidden/>
          </w:rPr>
          <w:fldChar w:fldCharType="begin"/>
        </w:r>
        <w:r>
          <w:rPr>
            <w:noProof/>
            <w:webHidden/>
          </w:rPr>
          <w:instrText xml:space="preserve"> PAGEREF _Toc187075171 \h </w:instrText>
        </w:r>
        <w:r>
          <w:rPr>
            <w:noProof/>
            <w:webHidden/>
          </w:rPr>
        </w:r>
        <w:r>
          <w:rPr>
            <w:noProof/>
            <w:webHidden/>
          </w:rPr>
          <w:fldChar w:fldCharType="separate"/>
        </w:r>
        <w:r w:rsidR="005B566E">
          <w:rPr>
            <w:noProof/>
            <w:webHidden/>
          </w:rPr>
          <w:t>27</w:t>
        </w:r>
        <w:r>
          <w:rPr>
            <w:noProof/>
            <w:webHidden/>
          </w:rPr>
          <w:fldChar w:fldCharType="end"/>
        </w:r>
      </w:hyperlink>
    </w:p>
    <w:p w14:paraId="7182170A" w14:textId="3DCAAF2C" w:rsidR="007E0DAF" w:rsidRDefault="007E0DAF">
      <w:pPr>
        <w:pStyle w:val="TOC2"/>
        <w:rPr>
          <w:rFonts w:eastAsiaTheme="minorEastAsia" w:cstheme="minorBidi"/>
          <w:i w:val="0"/>
          <w:noProof/>
          <w:kern w:val="2"/>
          <w:szCs w:val="22"/>
          <w:lang w:val="en-US" w:eastAsia="en-US"/>
          <w14:ligatures w14:val="standardContextual"/>
        </w:rPr>
      </w:pPr>
      <w:hyperlink w:anchor="_Toc187075172" w:history="1">
        <w:r w:rsidRPr="00DE2D7D">
          <w:rPr>
            <w:rStyle w:val="Hyperlink"/>
            <w:rFonts w:eastAsia="Calibri" w:cstheme="minorHAnsi"/>
            <w:noProof/>
          </w:rPr>
          <w:t>Dėl proceso atnaujinimo objekto nebuvimo – nutartis atsisakyti priimti skundą neatnaujinus termino jam paduoti</w:t>
        </w:r>
        <w:r>
          <w:rPr>
            <w:noProof/>
            <w:webHidden/>
          </w:rPr>
          <w:tab/>
        </w:r>
        <w:r>
          <w:rPr>
            <w:noProof/>
            <w:webHidden/>
          </w:rPr>
          <w:fldChar w:fldCharType="begin"/>
        </w:r>
        <w:r>
          <w:rPr>
            <w:noProof/>
            <w:webHidden/>
          </w:rPr>
          <w:instrText xml:space="preserve"> PAGEREF _Toc187075172 \h </w:instrText>
        </w:r>
        <w:r>
          <w:rPr>
            <w:noProof/>
            <w:webHidden/>
          </w:rPr>
        </w:r>
        <w:r>
          <w:rPr>
            <w:noProof/>
            <w:webHidden/>
          </w:rPr>
          <w:fldChar w:fldCharType="separate"/>
        </w:r>
        <w:r w:rsidR="005B566E">
          <w:rPr>
            <w:noProof/>
            <w:webHidden/>
          </w:rPr>
          <w:t>27</w:t>
        </w:r>
        <w:r>
          <w:rPr>
            <w:noProof/>
            <w:webHidden/>
          </w:rPr>
          <w:fldChar w:fldCharType="end"/>
        </w:r>
      </w:hyperlink>
    </w:p>
    <w:p w14:paraId="26BAD7EA" w14:textId="09B282D9" w:rsidR="007E0DAF" w:rsidRDefault="007E0DAF">
      <w:pPr>
        <w:pStyle w:val="TOC2"/>
        <w:rPr>
          <w:rFonts w:eastAsiaTheme="minorEastAsia" w:cstheme="minorBidi"/>
          <w:i w:val="0"/>
          <w:noProof/>
          <w:kern w:val="2"/>
          <w:szCs w:val="22"/>
          <w:lang w:val="en-US" w:eastAsia="en-US"/>
          <w14:ligatures w14:val="standardContextual"/>
        </w:rPr>
      </w:pPr>
      <w:hyperlink w:anchor="_Toc187075173" w:history="1">
        <w:r w:rsidRPr="00DE2D7D">
          <w:rPr>
            <w:rStyle w:val="Hyperlink"/>
            <w:rFonts w:eastAsia="Calibri" w:cstheme="minorHAnsi"/>
            <w:noProof/>
          </w:rPr>
          <w:t>Dėl proceso atnaujinimo objekto nebuvimo – nutartis sujungti bylas ir perduoti bylą nagrinėti iš naujo</w:t>
        </w:r>
        <w:r>
          <w:rPr>
            <w:noProof/>
            <w:webHidden/>
          </w:rPr>
          <w:tab/>
        </w:r>
        <w:r>
          <w:rPr>
            <w:noProof/>
            <w:webHidden/>
          </w:rPr>
          <w:fldChar w:fldCharType="begin"/>
        </w:r>
        <w:r>
          <w:rPr>
            <w:noProof/>
            <w:webHidden/>
          </w:rPr>
          <w:instrText xml:space="preserve"> PAGEREF _Toc187075173 \h </w:instrText>
        </w:r>
        <w:r>
          <w:rPr>
            <w:noProof/>
            <w:webHidden/>
          </w:rPr>
        </w:r>
        <w:r>
          <w:rPr>
            <w:noProof/>
            <w:webHidden/>
          </w:rPr>
          <w:fldChar w:fldCharType="separate"/>
        </w:r>
        <w:r w:rsidR="005B566E">
          <w:rPr>
            <w:noProof/>
            <w:webHidden/>
          </w:rPr>
          <w:t>27</w:t>
        </w:r>
        <w:r>
          <w:rPr>
            <w:noProof/>
            <w:webHidden/>
          </w:rPr>
          <w:fldChar w:fldCharType="end"/>
        </w:r>
      </w:hyperlink>
    </w:p>
    <w:p w14:paraId="2A3B6F45" w14:textId="68F9FA75" w:rsidR="0088425C" w:rsidRPr="003756A5" w:rsidRDefault="00A364C6" w:rsidP="00E2490F">
      <w:pPr>
        <w:tabs>
          <w:tab w:val="right" w:leader="dot" w:pos="9923"/>
        </w:tabs>
        <w:ind w:right="-2"/>
        <w:jc w:val="both"/>
        <w:rPr>
          <w:rFonts w:asciiTheme="minorHAnsi" w:hAnsiTheme="minorHAnsi" w:cstheme="minorHAnsi"/>
          <w:sz w:val="22"/>
          <w:szCs w:val="22"/>
        </w:rPr>
      </w:pPr>
      <w:r w:rsidRPr="003756A5">
        <w:rPr>
          <w:rFonts w:asciiTheme="minorHAnsi" w:hAnsiTheme="minorHAnsi" w:cstheme="minorHAnsi"/>
          <w:sz w:val="22"/>
          <w:szCs w:val="22"/>
        </w:rPr>
        <w:fldChar w:fldCharType="end"/>
      </w:r>
      <w:bookmarkEnd w:id="6"/>
      <w:bookmarkEnd w:id="8"/>
    </w:p>
    <w:p w14:paraId="781C112A" w14:textId="3B49807F" w:rsidR="00293CF6" w:rsidRPr="003756A5" w:rsidRDefault="00A4795D" w:rsidP="0088425C">
      <w:pPr>
        <w:tabs>
          <w:tab w:val="right" w:leader="dot" w:pos="9921"/>
        </w:tabs>
        <w:spacing w:before="240" w:after="240"/>
        <w:jc w:val="both"/>
        <w:rPr>
          <w:rFonts w:asciiTheme="minorHAnsi" w:hAnsiTheme="minorHAnsi" w:cstheme="minorHAnsi"/>
          <w:sz w:val="22"/>
          <w:szCs w:val="22"/>
        </w:rPr>
      </w:pPr>
      <w:r w:rsidRPr="003756A5">
        <w:rPr>
          <w:rFonts w:asciiTheme="minorHAnsi" w:hAnsiTheme="minorHAnsi" w:cstheme="minorHAnsi"/>
          <w:sz w:val="22"/>
          <w:szCs w:val="22"/>
        </w:rPr>
        <w:t>Š</w:t>
      </w:r>
      <w:r w:rsidR="00293CF6" w:rsidRPr="003756A5">
        <w:rPr>
          <w:rFonts w:asciiTheme="minorHAnsi" w:hAnsiTheme="minorHAnsi" w:cstheme="minorHAnsi"/>
          <w:sz w:val="22"/>
          <w:szCs w:val="22"/>
        </w:rPr>
        <w:t>ioje apžvalgoje vartojam</w:t>
      </w:r>
      <w:r w:rsidR="00BF0C24" w:rsidRPr="003756A5">
        <w:rPr>
          <w:rFonts w:asciiTheme="minorHAnsi" w:hAnsiTheme="minorHAnsi" w:cstheme="minorHAnsi"/>
          <w:sz w:val="22"/>
          <w:szCs w:val="22"/>
        </w:rPr>
        <w:t>os</w:t>
      </w:r>
      <w:r w:rsidR="00293CF6" w:rsidRPr="003756A5">
        <w:rPr>
          <w:rFonts w:asciiTheme="minorHAnsi" w:hAnsiTheme="minorHAnsi" w:cstheme="minorHAnsi"/>
          <w:sz w:val="22"/>
          <w:szCs w:val="22"/>
        </w:rPr>
        <w:t xml:space="preserve"> </w:t>
      </w:r>
      <w:r w:rsidR="00293CF6" w:rsidRPr="003756A5">
        <w:rPr>
          <w:rFonts w:asciiTheme="minorHAnsi" w:hAnsiTheme="minorHAnsi" w:cstheme="minorHAnsi"/>
          <w:b/>
          <w:sz w:val="22"/>
          <w:szCs w:val="22"/>
        </w:rPr>
        <w:t>s</w:t>
      </w:r>
      <w:r w:rsidR="00BF0C24" w:rsidRPr="003756A5">
        <w:rPr>
          <w:rFonts w:asciiTheme="minorHAnsi" w:hAnsiTheme="minorHAnsi" w:cstheme="minorHAnsi"/>
          <w:b/>
          <w:sz w:val="22"/>
          <w:szCs w:val="22"/>
        </w:rPr>
        <w:t>antrumpos</w:t>
      </w:r>
      <w:r w:rsidR="00293CF6" w:rsidRPr="003756A5">
        <w:rPr>
          <w:rFonts w:asciiTheme="minorHAnsi" w:hAnsiTheme="minorHAnsi" w:cstheme="minorHAnsi"/>
          <w:sz w:val="22"/>
          <w:szCs w:val="22"/>
        </w:rPr>
        <w:t>:</w:t>
      </w:r>
    </w:p>
    <w:p w14:paraId="040998EB" w14:textId="003452D1" w:rsidR="00AE0292" w:rsidRPr="00FC6456" w:rsidRDefault="00AE0292" w:rsidP="00F63421">
      <w:pPr>
        <w:tabs>
          <w:tab w:val="left" w:pos="1701"/>
        </w:tabs>
        <w:jc w:val="both"/>
        <w:rPr>
          <w:rFonts w:asciiTheme="minorHAnsi" w:hAnsiTheme="minorHAnsi" w:cstheme="minorHAnsi"/>
          <w:sz w:val="22"/>
          <w:szCs w:val="22"/>
        </w:rPr>
      </w:pPr>
      <w:r w:rsidRPr="00FC6456">
        <w:rPr>
          <w:rFonts w:asciiTheme="minorHAnsi" w:hAnsiTheme="minorHAnsi" w:cstheme="minorHAnsi"/>
          <w:b/>
          <w:bCs/>
          <w:sz w:val="22"/>
          <w:szCs w:val="22"/>
        </w:rPr>
        <w:t>ABTĮ</w:t>
      </w:r>
      <w:r w:rsidRPr="00FC6456">
        <w:rPr>
          <w:rFonts w:asciiTheme="minorHAnsi" w:hAnsiTheme="minorHAnsi" w:cstheme="minorHAnsi"/>
          <w:bCs/>
          <w:sz w:val="22"/>
          <w:szCs w:val="22"/>
        </w:rPr>
        <w:tab/>
      </w:r>
      <w:r w:rsidRPr="00FC6456">
        <w:rPr>
          <w:rFonts w:asciiTheme="minorHAnsi" w:hAnsiTheme="minorHAnsi" w:cstheme="minorHAnsi"/>
          <w:sz w:val="22"/>
          <w:szCs w:val="22"/>
        </w:rPr>
        <w:t>Lietuvos Respublikos administracinių bylų teisenos įstatymas</w:t>
      </w:r>
    </w:p>
    <w:p w14:paraId="41737BFA" w14:textId="3C98C9AB" w:rsidR="00A824CA" w:rsidRPr="0007574E" w:rsidRDefault="00A824CA" w:rsidP="00F63421">
      <w:pPr>
        <w:tabs>
          <w:tab w:val="left" w:pos="1701"/>
        </w:tabs>
        <w:rPr>
          <w:rFonts w:asciiTheme="minorHAnsi" w:hAnsiTheme="minorHAnsi" w:cstheme="minorHAnsi"/>
          <w:sz w:val="22"/>
          <w:szCs w:val="22"/>
        </w:rPr>
      </w:pPr>
      <w:r w:rsidRPr="0007574E">
        <w:rPr>
          <w:rFonts w:asciiTheme="minorHAnsi" w:hAnsiTheme="minorHAnsi" w:cstheme="minorHAnsi"/>
          <w:b/>
          <w:sz w:val="22"/>
          <w:szCs w:val="22"/>
        </w:rPr>
        <w:t>BK</w:t>
      </w:r>
      <w:r w:rsidRPr="0007574E">
        <w:rPr>
          <w:rFonts w:asciiTheme="minorHAnsi" w:hAnsiTheme="minorHAnsi" w:cstheme="minorHAnsi"/>
          <w:b/>
          <w:sz w:val="22"/>
          <w:szCs w:val="22"/>
        </w:rPr>
        <w:tab/>
      </w:r>
      <w:r w:rsidRPr="0007574E">
        <w:rPr>
          <w:rFonts w:asciiTheme="minorHAnsi" w:hAnsiTheme="minorHAnsi" w:cstheme="minorHAnsi"/>
          <w:sz w:val="22"/>
          <w:szCs w:val="22"/>
        </w:rPr>
        <w:t>Lietuvos Respublikos baudžiamasis kodeksas</w:t>
      </w:r>
    </w:p>
    <w:p w14:paraId="04C9F0D1" w14:textId="01BB438F" w:rsidR="003515B5" w:rsidRPr="00FC6456" w:rsidRDefault="003515B5" w:rsidP="00F63421">
      <w:pPr>
        <w:tabs>
          <w:tab w:val="left" w:pos="1701"/>
        </w:tabs>
        <w:jc w:val="both"/>
        <w:rPr>
          <w:rFonts w:asciiTheme="minorHAnsi" w:hAnsiTheme="minorHAnsi" w:cstheme="minorHAnsi"/>
          <w:sz w:val="22"/>
          <w:szCs w:val="22"/>
        </w:rPr>
      </w:pPr>
      <w:r w:rsidRPr="00FC6456">
        <w:rPr>
          <w:rFonts w:asciiTheme="minorHAnsi" w:hAnsiTheme="minorHAnsi" w:cstheme="minorHAnsi"/>
          <w:b/>
          <w:bCs/>
          <w:sz w:val="22"/>
          <w:szCs w:val="22"/>
        </w:rPr>
        <w:t>CK</w:t>
      </w:r>
      <w:r w:rsidRPr="00FC6456">
        <w:rPr>
          <w:rFonts w:asciiTheme="minorHAnsi" w:hAnsiTheme="minorHAnsi" w:cstheme="minorHAnsi"/>
          <w:bCs/>
          <w:sz w:val="22"/>
          <w:szCs w:val="22"/>
        </w:rPr>
        <w:tab/>
        <w:t xml:space="preserve">Lietuvos Respublikos </w:t>
      </w:r>
      <w:r w:rsidRPr="00FC6456">
        <w:rPr>
          <w:rFonts w:asciiTheme="minorHAnsi" w:hAnsiTheme="minorHAnsi" w:cstheme="minorHAnsi"/>
          <w:sz w:val="22"/>
          <w:szCs w:val="22"/>
        </w:rPr>
        <w:t>civilinis kodeksas</w:t>
      </w:r>
    </w:p>
    <w:p w14:paraId="2627CCB7" w14:textId="12E0A42C" w:rsidR="001E223E" w:rsidRPr="00836185" w:rsidRDefault="001E223E" w:rsidP="001E223E">
      <w:pPr>
        <w:tabs>
          <w:tab w:val="left" w:pos="1701"/>
        </w:tabs>
        <w:jc w:val="both"/>
        <w:rPr>
          <w:rFonts w:asciiTheme="minorHAnsi" w:hAnsiTheme="minorHAnsi" w:cstheme="minorHAnsi"/>
          <w:b/>
          <w:sz w:val="22"/>
          <w:szCs w:val="22"/>
        </w:rPr>
      </w:pPr>
      <w:r w:rsidRPr="00836185">
        <w:rPr>
          <w:rFonts w:asciiTheme="minorHAnsi" w:hAnsiTheme="minorHAnsi" w:cstheme="minorHAnsi"/>
          <w:b/>
          <w:sz w:val="22"/>
          <w:szCs w:val="22"/>
        </w:rPr>
        <w:t>ES</w:t>
      </w:r>
      <w:r w:rsidRPr="00836185">
        <w:rPr>
          <w:rFonts w:asciiTheme="minorHAnsi" w:hAnsiTheme="minorHAnsi" w:cstheme="minorHAnsi"/>
          <w:b/>
          <w:sz w:val="22"/>
          <w:szCs w:val="22"/>
        </w:rPr>
        <w:tab/>
      </w:r>
      <w:r w:rsidRPr="00836185">
        <w:rPr>
          <w:rFonts w:asciiTheme="minorHAnsi" w:hAnsiTheme="minorHAnsi" w:cstheme="minorHAnsi"/>
          <w:bCs/>
          <w:sz w:val="22"/>
          <w:szCs w:val="22"/>
        </w:rPr>
        <w:t>Europos Sąjung</w:t>
      </w:r>
      <w:r>
        <w:rPr>
          <w:rFonts w:asciiTheme="minorHAnsi" w:hAnsiTheme="minorHAnsi" w:cstheme="minorHAnsi"/>
          <w:bCs/>
          <w:sz w:val="22"/>
          <w:szCs w:val="22"/>
        </w:rPr>
        <w:t>a</w:t>
      </w:r>
    </w:p>
    <w:p w14:paraId="68708775" w14:textId="0ACB46F2" w:rsidR="006417BE" w:rsidRPr="00836185" w:rsidRDefault="006417BE" w:rsidP="00F63421">
      <w:pPr>
        <w:tabs>
          <w:tab w:val="left" w:pos="1701"/>
        </w:tabs>
        <w:jc w:val="both"/>
        <w:rPr>
          <w:rFonts w:asciiTheme="minorHAnsi" w:hAnsiTheme="minorHAnsi" w:cstheme="minorHAnsi"/>
          <w:b/>
          <w:sz w:val="22"/>
          <w:szCs w:val="22"/>
        </w:rPr>
      </w:pPr>
      <w:r w:rsidRPr="00836185">
        <w:rPr>
          <w:rFonts w:asciiTheme="minorHAnsi" w:hAnsiTheme="minorHAnsi" w:cstheme="minorHAnsi"/>
          <w:b/>
          <w:sz w:val="22"/>
          <w:szCs w:val="22"/>
        </w:rPr>
        <w:t>ESTT</w:t>
      </w:r>
      <w:r w:rsidRPr="00836185">
        <w:rPr>
          <w:rFonts w:asciiTheme="minorHAnsi" w:hAnsiTheme="minorHAnsi" w:cstheme="minorHAnsi"/>
          <w:b/>
          <w:sz w:val="22"/>
          <w:szCs w:val="22"/>
        </w:rPr>
        <w:tab/>
      </w:r>
      <w:r w:rsidRPr="00836185">
        <w:rPr>
          <w:rFonts w:asciiTheme="minorHAnsi" w:hAnsiTheme="minorHAnsi" w:cstheme="minorHAnsi"/>
          <w:bCs/>
          <w:sz w:val="22"/>
          <w:szCs w:val="22"/>
        </w:rPr>
        <w:t>Europos Sąjungos Teisingumo Teismas</w:t>
      </w:r>
    </w:p>
    <w:p w14:paraId="2ADEE548" w14:textId="0736787C" w:rsidR="00135115" w:rsidRPr="00FC6456" w:rsidRDefault="00135115" w:rsidP="00F63421">
      <w:pPr>
        <w:tabs>
          <w:tab w:val="left" w:pos="1701"/>
        </w:tabs>
        <w:jc w:val="both"/>
        <w:rPr>
          <w:rFonts w:asciiTheme="minorHAnsi" w:hAnsiTheme="minorHAnsi" w:cstheme="minorHAnsi"/>
          <w:bCs/>
          <w:sz w:val="22"/>
          <w:szCs w:val="22"/>
        </w:rPr>
      </w:pPr>
      <w:r w:rsidRPr="00FC6456">
        <w:rPr>
          <w:rFonts w:asciiTheme="minorHAnsi" w:hAnsiTheme="minorHAnsi" w:cstheme="minorHAnsi"/>
          <w:b/>
          <w:sz w:val="22"/>
          <w:szCs w:val="22"/>
        </w:rPr>
        <w:t>EŽTT</w:t>
      </w:r>
      <w:r w:rsidRPr="00FC6456">
        <w:rPr>
          <w:rFonts w:asciiTheme="minorHAnsi" w:hAnsiTheme="minorHAnsi" w:cstheme="minorHAnsi"/>
          <w:bCs/>
          <w:sz w:val="22"/>
          <w:szCs w:val="22"/>
        </w:rPr>
        <w:tab/>
        <w:t>Europos Žmogaus Teisių Teismas</w:t>
      </w:r>
    </w:p>
    <w:p w14:paraId="62E2FA76" w14:textId="2FFB2CF4" w:rsidR="00807720" w:rsidRPr="00FC6456" w:rsidRDefault="00807720" w:rsidP="00F63421">
      <w:pPr>
        <w:tabs>
          <w:tab w:val="left" w:pos="1701"/>
        </w:tabs>
        <w:jc w:val="both"/>
        <w:rPr>
          <w:rFonts w:asciiTheme="minorHAnsi" w:hAnsiTheme="minorHAnsi" w:cstheme="minorHAnsi"/>
          <w:sz w:val="22"/>
          <w:szCs w:val="22"/>
        </w:rPr>
      </w:pPr>
      <w:r w:rsidRPr="00FC6456">
        <w:rPr>
          <w:rFonts w:asciiTheme="minorHAnsi" w:hAnsiTheme="minorHAnsi" w:cstheme="minorHAnsi"/>
          <w:b/>
          <w:sz w:val="22"/>
          <w:szCs w:val="22"/>
        </w:rPr>
        <w:t>LAT</w:t>
      </w:r>
      <w:r w:rsidRPr="00FC6456">
        <w:rPr>
          <w:rFonts w:asciiTheme="minorHAnsi" w:hAnsiTheme="minorHAnsi" w:cstheme="minorHAnsi"/>
          <w:bCs/>
          <w:sz w:val="22"/>
          <w:szCs w:val="22"/>
        </w:rPr>
        <w:tab/>
      </w:r>
      <w:r w:rsidRPr="00FC6456">
        <w:rPr>
          <w:rFonts w:asciiTheme="minorHAnsi" w:hAnsiTheme="minorHAnsi" w:cstheme="minorHAnsi"/>
          <w:sz w:val="22"/>
          <w:szCs w:val="22"/>
        </w:rPr>
        <w:t>Lietuvos Aukščiausiasis Teismas</w:t>
      </w:r>
    </w:p>
    <w:p w14:paraId="4C6B083B" w14:textId="4A2AD66A" w:rsidR="00AE0292" w:rsidRPr="00FC6456" w:rsidRDefault="00AE0292" w:rsidP="00F63421">
      <w:pPr>
        <w:tabs>
          <w:tab w:val="left" w:pos="1701"/>
        </w:tabs>
        <w:jc w:val="both"/>
        <w:rPr>
          <w:rFonts w:asciiTheme="minorHAnsi" w:hAnsiTheme="minorHAnsi" w:cstheme="minorHAnsi"/>
          <w:sz w:val="22"/>
          <w:szCs w:val="22"/>
        </w:rPr>
      </w:pPr>
      <w:r w:rsidRPr="00FC6456">
        <w:rPr>
          <w:rFonts w:asciiTheme="minorHAnsi" w:hAnsiTheme="minorHAnsi" w:cstheme="minorHAnsi"/>
          <w:b/>
          <w:sz w:val="22"/>
          <w:szCs w:val="22"/>
        </w:rPr>
        <w:t>LVAT</w:t>
      </w:r>
      <w:r w:rsidRPr="00FC6456">
        <w:rPr>
          <w:rFonts w:asciiTheme="minorHAnsi" w:hAnsiTheme="minorHAnsi" w:cstheme="minorHAnsi"/>
          <w:bCs/>
          <w:sz w:val="22"/>
          <w:szCs w:val="22"/>
        </w:rPr>
        <w:tab/>
      </w:r>
      <w:r w:rsidRPr="00FC6456">
        <w:rPr>
          <w:rFonts w:asciiTheme="minorHAnsi" w:hAnsiTheme="minorHAnsi" w:cstheme="minorHAnsi"/>
          <w:sz w:val="22"/>
          <w:szCs w:val="22"/>
        </w:rPr>
        <w:t>Lietuvos vyriausiasis administracinis teismas</w:t>
      </w:r>
    </w:p>
    <w:p w14:paraId="52F8CC07" w14:textId="77777777" w:rsidR="00E069AE" w:rsidRPr="00957F86" w:rsidRDefault="00E069AE" w:rsidP="00E069AE">
      <w:pPr>
        <w:tabs>
          <w:tab w:val="left" w:pos="1701"/>
        </w:tabs>
        <w:jc w:val="both"/>
        <w:rPr>
          <w:rFonts w:asciiTheme="minorHAnsi" w:hAnsiTheme="minorHAnsi" w:cstheme="minorHAnsi"/>
          <w:bCs/>
          <w:sz w:val="22"/>
          <w:szCs w:val="22"/>
        </w:rPr>
      </w:pPr>
      <w:r w:rsidRPr="00BF0E40">
        <w:rPr>
          <w:rFonts w:asciiTheme="minorHAnsi" w:hAnsiTheme="minorHAnsi" w:cstheme="minorHAnsi"/>
          <w:b/>
          <w:sz w:val="22"/>
          <w:szCs w:val="22"/>
        </w:rPr>
        <w:t>MD</w:t>
      </w:r>
      <w:r w:rsidRPr="00BF0E40">
        <w:rPr>
          <w:rFonts w:asciiTheme="minorHAnsi" w:hAnsiTheme="minorHAnsi" w:cstheme="minorHAnsi"/>
          <w:bCs/>
          <w:sz w:val="22"/>
          <w:szCs w:val="22"/>
        </w:rPr>
        <w:tab/>
      </w:r>
      <w:r w:rsidRPr="00BF0E40">
        <w:rPr>
          <w:rStyle w:val="normaltextrun"/>
          <w:rFonts w:asciiTheme="minorHAnsi" w:hAnsiTheme="minorHAnsi" w:cstheme="minorHAnsi"/>
          <w:sz w:val="22"/>
          <w:szCs w:val="22"/>
          <w:bdr w:val="none" w:sz="0" w:space="0" w:color="auto" w:frame="1"/>
        </w:rPr>
        <w:t>Migracijos departamentas prie Lietuvos Respublikos vidaus reikalų ministerijos</w:t>
      </w:r>
    </w:p>
    <w:p w14:paraId="2F4F369C" w14:textId="0FC94551" w:rsidR="00AB42AB" w:rsidRPr="00836185" w:rsidRDefault="00AB42AB" w:rsidP="00AB42AB">
      <w:pPr>
        <w:tabs>
          <w:tab w:val="left" w:pos="1701"/>
        </w:tabs>
        <w:jc w:val="both"/>
        <w:rPr>
          <w:rFonts w:asciiTheme="minorHAnsi" w:hAnsiTheme="minorHAnsi" w:cstheme="minorHAnsi"/>
          <w:sz w:val="22"/>
          <w:szCs w:val="22"/>
        </w:rPr>
      </w:pPr>
      <w:r w:rsidRPr="00836185">
        <w:rPr>
          <w:rFonts w:asciiTheme="minorHAnsi" w:hAnsiTheme="minorHAnsi" w:cstheme="minorHAnsi"/>
          <w:b/>
          <w:sz w:val="22"/>
          <w:szCs w:val="22"/>
        </w:rPr>
        <w:t>SESV</w:t>
      </w:r>
      <w:r w:rsidRPr="00836185">
        <w:rPr>
          <w:rFonts w:asciiTheme="minorHAnsi" w:hAnsiTheme="minorHAnsi" w:cstheme="minorHAnsi"/>
          <w:bCs/>
          <w:sz w:val="22"/>
          <w:szCs w:val="22"/>
        </w:rPr>
        <w:tab/>
      </w:r>
      <w:r w:rsidRPr="00836185">
        <w:rPr>
          <w:rFonts w:asciiTheme="minorHAnsi" w:hAnsiTheme="minorHAnsi" w:cstheme="minorHAnsi"/>
          <w:sz w:val="22"/>
          <w:szCs w:val="22"/>
        </w:rPr>
        <w:t>Sutartis dėl Europos Sąjungos veikimo</w:t>
      </w:r>
    </w:p>
    <w:p w14:paraId="785A0AF8" w14:textId="477E3F76" w:rsidR="00137A24" w:rsidRPr="00FC6456" w:rsidRDefault="00137A24" w:rsidP="00F63421">
      <w:pPr>
        <w:tabs>
          <w:tab w:val="left" w:pos="1701"/>
        </w:tabs>
        <w:jc w:val="both"/>
        <w:rPr>
          <w:rFonts w:asciiTheme="minorHAnsi" w:hAnsiTheme="minorHAnsi" w:cstheme="minorHAnsi"/>
          <w:sz w:val="22"/>
          <w:szCs w:val="22"/>
        </w:rPr>
      </w:pPr>
      <w:r w:rsidRPr="00FC6456">
        <w:rPr>
          <w:rFonts w:asciiTheme="minorHAnsi" w:hAnsiTheme="minorHAnsi" w:cstheme="minorHAnsi"/>
          <w:b/>
          <w:bCs/>
          <w:sz w:val="22"/>
          <w:szCs w:val="22"/>
        </w:rPr>
        <w:t>UAB</w:t>
      </w:r>
      <w:r w:rsidRPr="00FC6456">
        <w:rPr>
          <w:rFonts w:asciiTheme="minorHAnsi" w:hAnsiTheme="minorHAnsi" w:cstheme="minorHAnsi"/>
          <w:bCs/>
          <w:sz w:val="22"/>
          <w:szCs w:val="22"/>
        </w:rPr>
        <w:tab/>
        <w:t xml:space="preserve">uždaroji </w:t>
      </w:r>
      <w:r w:rsidRPr="00FC6456">
        <w:rPr>
          <w:rFonts w:asciiTheme="minorHAnsi" w:hAnsiTheme="minorHAnsi" w:cstheme="minorHAnsi"/>
          <w:sz w:val="22"/>
          <w:szCs w:val="22"/>
        </w:rPr>
        <w:t>akcinė bendrovė</w:t>
      </w:r>
    </w:p>
    <w:p w14:paraId="05EE06D3" w14:textId="77777777" w:rsidR="00EC286D" w:rsidRPr="0003186C" w:rsidRDefault="00EC286D" w:rsidP="00EC286D">
      <w:pPr>
        <w:tabs>
          <w:tab w:val="left" w:pos="1701"/>
        </w:tabs>
        <w:jc w:val="both"/>
        <w:rPr>
          <w:rFonts w:asciiTheme="minorHAnsi" w:hAnsiTheme="minorHAnsi" w:cstheme="minorHAnsi"/>
          <w:sz w:val="22"/>
          <w:szCs w:val="22"/>
        </w:rPr>
      </w:pPr>
      <w:r w:rsidRPr="00BC7DBC">
        <w:rPr>
          <w:rFonts w:asciiTheme="minorHAnsi" w:hAnsiTheme="minorHAnsi" w:cstheme="minorHAnsi"/>
          <w:b/>
          <w:bCs/>
          <w:sz w:val="22"/>
          <w:szCs w:val="22"/>
        </w:rPr>
        <w:t>UTPĮ</w:t>
      </w:r>
      <w:r w:rsidRPr="00BC7DBC">
        <w:rPr>
          <w:rFonts w:asciiTheme="minorHAnsi" w:hAnsiTheme="minorHAnsi" w:cstheme="minorHAnsi"/>
          <w:bCs/>
          <w:sz w:val="22"/>
          <w:szCs w:val="22"/>
        </w:rPr>
        <w:tab/>
        <w:t>Lietuvos Respublikos įstatymas „Dėl užsieniečių teisinės padėties“</w:t>
      </w:r>
    </w:p>
    <w:p w14:paraId="2546418B" w14:textId="42219D1D" w:rsidR="001D44F1" w:rsidRPr="00836185" w:rsidRDefault="001D44F1" w:rsidP="00F63421">
      <w:pPr>
        <w:tabs>
          <w:tab w:val="left" w:pos="1701"/>
        </w:tabs>
        <w:jc w:val="both"/>
        <w:rPr>
          <w:rFonts w:asciiTheme="minorHAnsi" w:hAnsiTheme="minorHAnsi" w:cstheme="minorHAnsi"/>
          <w:sz w:val="22"/>
          <w:szCs w:val="22"/>
        </w:rPr>
      </w:pPr>
      <w:r w:rsidRPr="00836185">
        <w:rPr>
          <w:rFonts w:asciiTheme="minorHAnsi" w:hAnsiTheme="minorHAnsi" w:cstheme="minorHAnsi"/>
          <w:b/>
          <w:bCs/>
          <w:sz w:val="22"/>
          <w:szCs w:val="22"/>
        </w:rPr>
        <w:t>VAĮ</w:t>
      </w:r>
      <w:r w:rsidRPr="00836185">
        <w:rPr>
          <w:rFonts w:asciiTheme="minorHAnsi" w:hAnsiTheme="minorHAnsi" w:cstheme="minorHAnsi"/>
          <w:sz w:val="22"/>
          <w:szCs w:val="22"/>
        </w:rPr>
        <w:tab/>
        <w:t>Lietuvos Respublikos viešojo administravimo įstatymas</w:t>
      </w:r>
    </w:p>
    <w:p w14:paraId="1E952EDD" w14:textId="4F99AC1D" w:rsidR="00FC6456" w:rsidRDefault="00FC6456" w:rsidP="00F63421">
      <w:pPr>
        <w:tabs>
          <w:tab w:val="left" w:pos="1701"/>
        </w:tabs>
        <w:jc w:val="both"/>
        <w:rPr>
          <w:rFonts w:asciiTheme="minorHAnsi" w:hAnsiTheme="minorHAnsi" w:cstheme="minorHAnsi"/>
          <w:bCs/>
          <w:sz w:val="22"/>
          <w:szCs w:val="22"/>
          <w:lang w:bidi="lt-LT"/>
        </w:rPr>
      </w:pPr>
      <w:r w:rsidRPr="00F73DCE">
        <w:rPr>
          <w:rFonts w:asciiTheme="minorHAnsi" w:hAnsiTheme="minorHAnsi" w:cstheme="minorHAnsi"/>
          <w:b/>
          <w:sz w:val="22"/>
          <w:szCs w:val="22"/>
        </w:rPr>
        <w:t>VĮ</w:t>
      </w:r>
      <w:r>
        <w:rPr>
          <w:rFonts w:asciiTheme="minorHAnsi" w:hAnsiTheme="minorHAnsi" w:cstheme="minorHAnsi"/>
          <w:bCs/>
          <w:sz w:val="22"/>
          <w:szCs w:val="22"/>
        </w:rPr>
        <w:tab/>
      </w:r>
      <w:r w:rsidRPr="00F73DCE">
        <w:rPr>
          <w:rFonts w:asciiTheme="minorHAnsi" w:hAnsiTheme="minorHAnsi" w:cstheme="minorHAnsi"/>
          <w:bCs/>
          <w:sz w:val="22"/>
          <w:szCs w:val="22"/>
          <w:lang w:bidi="lt-LT"/>
        </w:rPr>
        <w:t>valstybės įmonė</w:t>
      </w:r>
    </w:p>
    <w:p w14:paraId="46254224" w14:textId="77777777" w:rsidR="004B138D" w:rsidRPr="006F279F" w:rsidRDefault="004B138D" w:rsidP="004B138D">
      <w:pPr>
        <w:tabs>
          <w:tab w:val="left" w:pos="1701"/>
        </w:tabs>
        <w:jc w:val="both"/>
        <w:rPr>
          <w:rFonts w:asciiTheme="minorHAnsi" w:hAnsiTheme="minorHAnsi" w:cstheme="minorHAnsi"/>
          <w:b/>
          <w:sz w:val="22"/>
          <w:szCs w:val="22"/>
          <w:lang w:bidi="lt-LT"/>
        </w:rPr>
      </w:pPr>
      <w:r w:rsidRPr="006F279F">
        <w:rPr>
          <w:rFonts w:asciiTheme="minorHAnsi" w:hAnsiTheme="minorHAnsi" w:cstheme="minorHAnsi"/>
          <w:b/>
          <w:sz w:val="22"/>
          <w:szCs w:val="22"/>
          <w:lang w:bidi="lt-LT"/>
        </w:rPr>
        <w:t>VSAT</w:t>
      </w:r>
      <w:r w:rsidRPr="006F279F">
        <w:rPr>
          <w:rFonts w:asciiTheme="minorHAnsi" w:hAnsiTheme="minorHAnsi" w:cstheme="minorHAnsi"/>
          <w:b/>
          <w:sz w:val="22"/>
          <w:szCs w:val="22"/>
          <w:lang w:bidi="lt-LT"/>
        </w:rPr>
        <w:tab/>
      </w:r>
      <w:r w:rsidRPr="006F279F">
        <w:rPr>
          <w:rFonts w:asciiTheme="minorHAnsi" w:hAnsiTheme="minorHAnsi" w:cstheme="minorHAnsi"/>
          <w:bCs/>
          <w:sz w:val="22"/>
          <w:szCs w:val="22"/>
          <w:lang w:bidi="lt-LT"/>
        </w:rPr>
        <w:t>Valstybės sienos apsaugos tarnyba prie Lietuvos Respublikos vidaus reikalų ministerijos</w:t>
      </w:r>
    </w:p>
    <w:p w14:paraId="6E6F07C4" w14:textId="3CEEB48C" w:rsidR="0007050C" w:rsidRPr="003756A5" w:rsidRDefault="00E227FE" w:rsidP="004701D7">
      <w:pPr>
        <w:spacing w:before="240"/>
        <w:jc w:val="both"/>
        <w:rPr>
          <w:rFonts w:asciiTheme="minorHAnsi" w:hAnsiTheme="minorHAnsi" w:cstheme="minorHAnsi"/>
          <w:sz w:val="22"/>
          <w:szCs w:val="22"/>
        </w:rPr>
      </w:pPr>
      <w:r w:rsidRPr="003756A5">
        <w:rPr>
          <w:rFonts w:asciiTheme="minorHAnsi" w:hAnsiTheme="minorHAnsi" w:cstheme="minorHAnsi"/>
          <w:b/>
          <w:sz w:val="22"/>
          <w:szCs w:val="22"/>
        </w:rPr>
        <w:t>P</w:t>
      </w:r>
      <w:r w:rsidR="003D4C15" w:rsidRPr="003756A5">
        <w:rPr>
          <w:rFonts w:asciiTheme="minorHAnsi" w:hAnsiTheme="minorHAnsi" w:cstheme="minorHAnsi"/>
          <w:b/>
          <w:sz w:val="22"/>
          <w:szCs w:val="22"/>
        </w:rPr>
        <w:t>astaba.</w:t>
      </w:r>
      <w:r w:rsidR="003D4C15" w:rsidRPr="003756A5">
        <w:rPr>
          <w:rFonts w:asciiTheme="minorHAnsi" w:hAnsiTheme="minorHAnsi" w:cstheme="minorHAnsi"/>
          <w:sz w:val="22"/>
          <w:szCs w:val="22"/>
        </w:rPr>
        <w:t xml:space="preserve"> Šioje apžvalgoje pateikiamos neoficialios </w:t>
      </w:r>
      <w:r w:rsidR="0028287C" w:rsidRPr="003756A5">
        <w:rPr>
          <w:rFonts w:asciiTheme="minorHAnsi" w:hAnsiTheme="minorHAnsi" w:cstheme="minorHAnsi"/>
          <w:sz w:val="22"/>
          <w:szCs w:val="22"/>
        </w:rPr>
        <w:t>LVAT</w:t>
      </w:r>
      <w:r w:rsidR="003D4C15" w:rsidRPr="003756A5">
        <w:rPr>
          <w:rFonts w:asciiTheme="minorHAnsi" w:hAnsiTheme="minorHAnsi" w:cstheme="minorHAnsi"/>
          <w:sz w:val="22"/>
          <w:szCs w:val="22"/>
        </w:rPr>
        <w:t xml:space="preserve"> procesinių sprendimų santraukos, kurios LVAT nesaisto. Šis dokumentas yra skirtas tik info</w:t>
      </w:r>
      <w:r w:rsidR="009E6C8D" w:rsidRPr="003756A5">
        <w:rPr>
          <w:rFonts w:asciiTheme="minorHAnsi" w:hAnsiTheme="minorHAnsi" w:cstheme="minorHAnsi"/>
          <w:sz w:val="22"/>
          <w:szCs w:val="22"/>
        </w:rPr>
        <w:t>rm</w:t>
      </w:r>
      <w:r w:rsidR="0001474E" w:rsidRPr="003756A5">
        <w:rPr>
          <w:rFonts w:asciiTheme="minorHAnsi" w:hAnsiTheme="minorHAnsi" w:cstheme="minorHAnsi"/>
          <w:sz w:val="22"/>
          <w:szCs w:val="22"/>
        </w:rPr>
        <w:t>uoti</w:t>
      </w:r>
      <w:r w:rsidR="003D4C15" w:rsidRPr="003756A5">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3756A5">
        <w:rPr>
          <w:rFonts w:asciiTheme="minorHAnsi" w:hAnsiTheme="minorHAnsi" w:cstheme="minorHAnsi"/>
          <w:sz w:val="22"/>
          <w:szCs w:val="22"/>
        </w:rPr>
        <w:t>16</w:t>
      </w:r>
      <w:r w:rsidR="00F1556D" w:rsidRPr="003756A5">
        <w:rPr>
          <w:rFonts w:asciiTheme="minorHAnsi" w:hAnsiTheme="minorHAnsi" w:cstheme="minorHAnsi"/>
          <w:sz w:val="22"/>
          <w:szCs w:val="22"/>
        </w:rPr>
        <w:t xml:space="preserve"> </w:t>
      </w:r>
      <w:r w:rsidR="003D4C15" w:rsidRPr="003756A5">
        <w:rPr>
          <w:rFonts w:asciiTheme="minorHAnsi" w:hAnsiTheme="minorHAnsi" w:cstheme="minorHAnsi"/>
          <w:sz w:val="22"/>
          <w:szCs w:val="22"/>
        </w:rPr>
        <w:t xml:space="preserve">m. </w:t>
      </w:r>
      <w:r w:rsidR="0045102F" w:rsidRPr="003756A5">
        <w:rPr>
          <w:rFonts w:asciiTheme="minorHAnsi" w:hAnsiTheme="minorHAnsi" w:cstheme="minorHAnsi"/>
          <w:sz w:val="22"/>
          <w:szCs w:val="22"/>
        </w:rPr>
        <w:t>rugsėjo 30</w:t>
      </w:r>
      <w:r w:rsidR="00F1556D" w:rsidRPr="003756A5">
        <w:rPr>
          <w:rFonts w:asciiTheme="minorHAnsi" w:hAnsiTheme="minorHAnsi" w:cstheme="minorHAnsi"/>
          <w:sz w:val="22"/>
          <w:szCs w:val="22"/>
        </w:rPr>
        <w:t xml:space="preserve"> </w:t>
      </w:r>
      <w:r w:rsidR="00291483" w:rsidRPr="003756A5">
        <w:rPr>
          <w:rFonts w:asciiTheme="minorHAnsi" w:hAnsiTheme="minorHAnsi" w:cstheme="minorHAnsi"/>
          <w:sz w:val="22"/>
          <w:szCs w:val="22"/>
        </w:rPr>
        <w:t>d. nutarimu Nr. </w:t>
      </w:r>
      <w:r w:rsidR="003D4C15" w:rsidRPr="003756A5">
        <w:rPr>
          <w:rFonts w:asciiTheme="minorHAnsi" w:hAnsiTheme="minorHAnsi" w:cstheme="minorHAnsi"/>
          <w:sz w:val="22"/>
          <w:szCs w:val="22"/>
        </w:rPr>
        <w:t>13P-</w:t>
      </w:r>
      <w:r w:rsidR="0045102F" w:rsidRPr="003756A5">
        <w:rPr>
          <w:rFonts w:asciiTheme="minorHAnsi" w:hAnsiTheme="minorHAnsi" w:cstheme="minorHAnsi"/>
          <w:sz w:val="22"/>
          <w:szCs w:val="22"/>
        </w:rPr>
        <w:t>102</w:t>
      </w:r>
      <w:r w:rsidR="003D4C15" w:rsidRPr="003756A5">
        <w:rPr>
          <w:rFonts w:asciiTheme="minorHAnsi" w:hAnsiTheme="minorHAnsi" w:cstheme="minorHAnsi"/>
          <w:sz w:val="22"/>
          <w:szCs w:val="22"/>
        </w:rPr>
        <w:t>-(7.1.2) patvirtintu Teismų procesinių sprendimų administracinėse bylose kategorijų klasifikatoriumi</w:t>
      </w:r>
      <w:r w:rsidR="0038475E" w:rsidRPr="003756A5">
        <w:rPr>
          <w:rFonts w:asciiTheme="minorHAnsi" w:hAnsiTheme="minorHAnsi" w:cstheme="minorHAnsi"/>
          <w:sz w:val="22"/>
          <w:szCs w:val="22"/>
        </w:rPr>
        <w:t xml:space="preserve"> (nuo 2019 m. vasario 1 d. galiojanti redakcija)</w:t>
      </w:r>
      <w:r w:rsidR="003D4C15" w:rsidRPr="003756A5">
        <w:rPr>
          <w:rFonts w:asciiTheme="minorHAnsi" w:hAnsiTheme="minorHAnsi" w:cstheme="minorHAnsi"/>
          <w:sz w:val="22"/>
          <w:szCs w:val="22"/>
        </w:rPr>
        <w:t>.</w:t>
      </w:r>
      <w:bookmarkStart w:id="9" w:name="_Toc410389752"/>
      <w:bookmarkStart w:id="10" w:name="_Toc361146890"/>
      <w:bookmarkEnd w:id="7"/>
      <w:r w:rsidR="0007050C" w:rsidRPr="003756A5">
        <w:rPr>
          <w:rFonts w:asciiTheme="minorHAnsi" w:hAnsiTheme="minorHAnsi" w:cstheme="minorHAnsi"/>
          <w:sz w:val="22"/>
          <w:szCs w:val="22"/>
        </w:rPr>
        <w:br w:type="page"/>
      </w:r>
    </w:p>
    <w:p w14:paraId="26C4EE0E" w14:textId="0E6E1B55" w:rsidR="007C61EC" w:rsidRPr="003756A5" w:rsidRDefault="00A84D45" w:rsidP="001B5CE0">
      <w:pPr>
        <w:pStyle w:val="Apzvalgai1"/>
        <w:rPr>
          <w:rFonts w:asciiTheme="minorHAnsi" w:hAnsiTheme="minorHAnsi" w:cstheme="minorHAnsi"/>
        </w:rPr>
      </w:pPr>
      <w:bookmarkStart w:id="11" w:name="_Toc519600852"/>
      <w:bookmarkStart w:id="12" w:name="_Toc187075126"/>
      <w:r w:rsidRPr="003756A5">
        <w:rPr>
          <w:rFonts w:asciiTheme="minorHAnsi" w:hAnsiTheme="minorHAnsi" w:cstheme="minorHAnsi"/>
        </w:rPr>
        <w:lastRenderedPageBreak/>
        <w:t>I. Administracinės bylos, kylančios iš ginčų dėl teisės viešojo administravimo srityje</w:t>
      </w:r>
      <w:bookmarkEnd w:id="11"/>
      <w:bookmarkEnd w:id="12"/>
    </w:p>
    <w:p w14:paraId="311B5742" w14:textId="7691F823" w:rsidR="00D84197" w:rsidRDefault="00D84197" w:rsidP="00431059">
      <w:pPr>
        <w:rPr>
          <w:rFonts w:asciiTheme="minorHAnsi" w:hAnsiTheme="minorHAnsi" w:cstheme="minorHAnsi"/>
        </w:rPr>
      </w:pPr>
    </w:p>
    <w:p w14:paraId="30F9AC41" w14:textId="77777777" w:rsidR="00DC1862" w:rsidRPr="00DC1862" w:rsidRDefault="00DC1862" w:rsidP="00DC1862">
      <w:pPr>
        <w:pStyle w:val="Apzvalgai1"/>
        <w:rPr>
          <w:rFonts w:asciiTheme="minorHAnsi" w:hAnsiTheme="minorHAnsi" w:cstheme="minorHAnsi"/>
        </w:rPr>
      </w:pPr>
      <w:bookmarkStart w:id="13" w:name="_Toc187075127"/>
      <w:r w:rsidRPr="00DC1862">
        <w:rPr>
          <w:rFonts w:asciiTheme="minorHAnsi" w:hAnsiTheme="minorHAnsi" w:cstheme="minorHAnsi"/>
        </w:rPr>
        <w:t>4. Norminių administracinių aktų teisėtumo patikra</w:t>
      </w:r>
      <w:bookmarkEnd w:id="13"/>
    </w:p>
    <w:p w14:paraId="660F39D9" w14:textId="25E11A8B" w:rsidR="00DC1862" w:rsidRPr="00903CC6" w:rsidRDefault="00DC1862" w:rsidP="00903CC6">
      <w:pPr>
        <w:ind w:firstLine="567"/>
        <w:jc w:val="both"/>
        <w:rPr>
          <w:rStyle w:val="normaltextrun"/>
          <w:rFonts w:asciiTheme="minorHAnsi" w:eastAsia="Calibri" w:hAnsiTheme="minorHAnsi" w:cstheme="minorHAnsi"/>
          <w:b/>
          <w:bCs/>
          <w:color w:val="000000"/>
          <w:sz w:val="22"/>
          <w:szCs w:val="22"/>
          <w:u w:val="single"/>
          <w:bdr w:val="none" w:sz="0" w:space="0" w:color="auto" w:frame="1"/>
        </w:rPr>
      </w:pPr>
      <w:r w:rsidRPr="00903CC6">
        <w:rPr>
          <w:rStyle w:val="normaltextrun"/>
          <w:rFonts w:asciiTheme="minorHAnsi" w:eastAsia="Calibri" w:hAnsiTheme="minorHAnsi" w:cstheme="minorHAnsi"/>
          <w:b/>
          <w:bCs/>
          <w:color w:val="000000"/>
          <w:sz w:val="22"/>
          <w:szCs w:val="22"/>
          <w:u w:val="single"/>
          <w:bdr w:val="none" w:sz="0" w:space="0" w:color="auto" w:frame="1"/>
        </w:rPr>
        <w:t>4.1. Centrinių valstybinio administravimo subjektų norminių administracinių aktų teisėtumas</w:t>
      </w:r>
    </w:p>
    <w:p w14:paraId="47E30E64" w14:textId="77777777" w:rsidR="00903CC6" w:rsidRPr="00903CC6" w:rsidRDefault="00903CC6" w:rsidP="00903CC6">
      <w:pPr>
        <w:ind w:firstLine="567"/>
        <w:jc w:val="both"/>
        <w:rPr>
          <w:rStyle w:val="normaltextrun"/>
          <w:rFonts w:asciiTheme="minorHAnsi" w:eastAsia="Calibri" w:hAnsiTheme="minorHAnsi" w:cstheme="minorHAnsi"/>
          <w:color w:val="000000"/>
          <w:sz w:val="22"/>
          <w:szCs w:val="22"/>
          <w:bdr w:val="none" w:sz="0" w:space="0" w:color="auto" w:frame="1"/>
        </w:rPr>
      </w:pPr>
    </w:p>
    <w:p w14:paraId="712B3157" w14:textId="77777777" w:rsidR="00DC1862" w:rsidRPr="00DC1862" w:rsidRDefault="00DC1862" w:rsidP="00DC1862">
      <w:pPr>
        <w:jc w:val="both"/>
        <w:outlineLvl w:val="1"/>
        <w:rPr>
          <w:rFonts w:asciiTheme="minorHAnsi" w:eastAsia="Calibri" w:hAnsiTheme="minorHAnsi" w:cstheme="minorHAnsi"/>
          <w:i/>
          <w:sz w:val="22"/>
          <w:szCs w:val="22"/>
        </w:rPr>
      </w:pPr>
      <w:bookmarkStart w:id="14" w:name="_Toc187075128"/>
      <w:r w:rsidRPr="00DC1862">
        <w:rPr>
          <w:rFonts w:asciiTheme="minorHAnsi" w:eastAsia="Calibri" w:hAnsiTheme="minorHAnsi" w:cstheme="minorHAnsi"/>
          <w:i/>
          <w:sz w:val="22"/>
          <w:szCs w:val="22"/>
        </w:rPr>
        <w:t>Dėl galimybės Audito, apskaitos, turto vertinimo ir nemokumo valdymo tarnybos direktoriui apriboti subjektų, galinčių teikti paklausimus dėl turto arba verslo vertinimo ataskaitos atitikties nustatytiems reikalavimams, ratą</w:t>
      </w:r>
      <w:bookmarkEnd w:id="14"/>
    </w:p>
    <w:p w14:paraId="2110CBF2" w14:textId="77777777" w:rsidR="00DC1862" w:rsidRPr="001B6E9F" w:rsidRDefault="00DC1862" w:rsidP="001B6E9F">
      <w:pPr>
        <w:ind w:firstLine="567"/>
        <w:jc w:val="both"/>
        <w:rPr>
          <w:rStyle w:val="normaltextrun"/>
          <w:rFonts w:asciiTheme="minorHAnsi" w:eastAsia="Calibri" w:hAnsiTheme="minorHAnsi" w:cstheme="minorHAnsi"/>
          <w:color w:val="000000"/>
          <w:sz w:val="22"/>
          <w:szCs w:val="22"/>
          <w:bdr w:val="none" w:sz="0" w:space="0" w:color="auto" w:frame="1"/>
        </w:rPr>
      </w:pPr>
    </w:p>
    <w:p w14:paraId="1C6CC7C7" w14:textId="152B336B" w:rsidR="00DC1862" w:rsidRPr="001B6E9F" w:rsidRDefault="00DC1862" w:rsidP="001B6E9F">
      <w:pPr>
        <w:ind w:firstLine="567"/>
        <w:jc w:val="both"/>
        <w:rPr>
          <w:rStyle w:val="normaltextrun"/>
          <w:rFonts w:asciiTheme="minorHAnsi" w:eastAsia="Calibri" w:hAnsiTheme="minorHAnsi" w:cstheme="minorHAnsi"/>
          <w:color w:val="000000"/>
          <w:sz w:val="22"/>
          <w:szCs w:val="22"/>
          <w:bdr w:val="none" w:sz="0" w:space="0" w:color="auto" w:frame="1"/>
        </w:rPr>
      </w:pPr>
      <w:r w:rsidRPr="001B6E9F">
        <w:rPr>
          <w:rStyle w:val="normaltextrun"/>
          <w:rFonts w:asciiTheme="minorHAnsi" w:eastAsia="Calibri" w:hAnsiTheme="minorHAnsi" w:cstheme="minorHAnsi"/>
          <w:color w:val="000000"/>
          <w:sz w:val="22"/>
          <w:szCs w:val="22"/>
          <w:bdr w:val="none" w:sz="0" w:space="0" w:color="auto" w:frame="1"/>
        </w:rPr>
        <w:t>Norminė administracinė byla inicijuota siekiant patikrinti, ar Paklausimų dėl turto arba verslo vertinimo ataskaitų atitikties Lietuvos Respublikos turto ir verslo vertinimo pagrindų įstatymo 22 straipsnyje nustatytiems reikalavimams nagrinėjimo taisyklių, patvirtintų Audito, apskaitos, turto vertinimo ir nemokumo valdymo tarnybos prie Lietuvos Respublikos finansų ministerijos (toliau – Tarnyba) direktoriaus 2016 m. rugsėjo 5 d. įsakymu Nr. V1-349 (Tarnybos direktoriaus 2018 m. spalio 26 d. įsakymo Nr. V1-221 redakcija, toliau – Taisyklės), 2.7 punktas tiek, kiek jame įtvirtintas baigtinis sąrašas asmenų, galinčių būti pareiškėjais, kurie turi teisę kreiptis į Tarnybą su paklausimais dėl turto arba verslo vertinimo ataskaitos atitikties Turto ir verslo vertinimo pagrindų įstatymo (toliau – Įstatymas) 22 straipsnyje nustatytiems reikalavimams, neprieštarauja Įstatymo 26 straipsnio 2 dalies 3 punktui, V</w:t>
      </w:r>
      <w:r w:rsidR="004B4C6E">
        <w:rPr>
          <w:rStyle w:val="normaltextrun"/>
          <w:rFonts w:asciiTheme="minorHAnsi" w:eastAsia="Calibri" w:hAnsiTheme="minorHAnsi" w:cstheme="minorHAnsi"/>
          <w:color w:val="000000"/>
          <w:sz w:val="22"/>
          <w:szCs w:val="22"/>
          <w:bdr w:val="none" w:sz="0" w:space="0" w:color="auto" w:frame="1"/>
        </w:rPr>
        <w:t>AĮ</w:t>
      </w:r>
      <w:r w:rsidRPr="001B6E9F">
        <w:rPr>
          <w:rStyle w:val="normaltextrun"/>
          <w:rFonts w:asciiTheme="minorHAnsi" w:eastAsia="Calibri" w:hAnsiTheme="minorHAnsi" w:cstheme="minorHAnsi"/>
          <w:color w:val="000000"/>
          <w:sz w:val="22"/>
          <w:szCs w:val="22"/>
          <w:bdr w:val="none" w:sz="0" w:space="0" w:color="auto" w:frame="1"/>
        </w:rPr>
        <w:t xml:space="preserve"> 3 straipsnio 4 punktui ir konstituciniam teisinės valstybės principui.</w:t>
      </w:r>
    </w:p>
    <w:p w14:paraId="1438CE00" w14:textId="77777777" w:rsidR="00DC1862" w:rsidRPr="001B6E9F" w:rsidRDefault="00DC1862" w:rsidP="001B6E9F">
      <w:pPr>
        <w:ind w:firstLine="567"/>
        <w:jc w:val="both"/>
        <w:rPr>
          <w:rStyle w:val="normaltextrun"/>
          <w:rFonts w:asciiTheme="minorHAnsi" w:eastAsia="Calibri" w:hAnsiTheme="minorHAnsi" w:cstheme="minorHAnsi"/>
          <w:color w:val="000000"/>
          <w:sz w:val="22"/>
          <w:szCs w:val="22"/>
          <w:bdr w:val="none" w:sz="0" w:space="0" w:color="auto" w:frame="1"/>
        </w:rPr>
      </w:pPr>
      <w:r w:rsidRPr="001B6E9F">
        <w:rPr>
          <w:rStyle w:val="normaltextrun"/>
          <w:rFonts w:asciiTheme="minorHAnsi" w:eastAsia="Calibri" w:hAnsiTheme="minorHAnsi" w:cstheme="minorHAnsi"/>
          <w:color w:val="000000"/>
          <w:sz w:val="22"/>
          <w:szCs w:val="22"/>
          <w:bdr w:val="none" w:sz="0" w:space="0" w:color="auto" w:frame="1"/>
        </w:rPr>
        <w:t>Norminio administracinio akto dalies teisėtumo tyrimą inicijavęs LVAT, apeliacine tvarka nagrinėdamas individualiąją bylą dėl Tarnybos sprendimo dalies, kuria Tarnyba atsisakė tikrinti turto vertinimo ataskaitos atitiktį Įstatymo 22 straipsnyje nustatytiems reikalavimams ir parengti išvadą dėl šios ataskaitos (toliau – pagrindinė byla), nustatė, jog pagrindinėje byloje nagrinėjamu atveju ginčijama Tarnybos sprendimo dalis motyvuota, be kita ko, tuo, kad pareiškėjas nepatenka į Taisyklių 2.7 punkte apibrėžtą subjektų, turinčių teisę teikti Tarnybai paklausimą dėl turto arba verslo vertinimo ataskaitos atitikties Įstatymo 22 straipsnyje nustatytiems reikalavimams, ratą.</w:t>
      </w:r>
    </w:p>
    <w:p w14:paraId="62438C06" w14:textId="02C06506" w:rsidR="00DC1862" w:rsidRPr="001B6E9F" w:rsidRDefault="00DC1862" w:rsidP="001B6E9F">
      <w:pPr>
        <w:ind w:firstLine="567"/>
        <w:jc w:val="both"/>
        <w:rPr>
          <w:rStyle w:val="normaltextrun"/>
          <w:rFonts w:asciiTheme="minorHAnsi" w:eastAsia="Calibri" w:hAnsiTheme="minorHAnsi" w:cstheme="minorHAnsi"/>
          <w:color w:val="000000"/>
          <w:sz w:val="22"/>
          <w:szCs w:val="22"/>
          <w:bdr w:val="none" w:sz="0" w:space="0" w:color="auto" w:frame="1"/>
        </w:rPr>
      </w:pPr>
      <w:r w:rsidRPr="001B6E9F">
        <w:rPr>
          <w:rStyle w:val="normaltextrun"/>
          <w:rFonts w:asciiTheme="minorHAnsi" w:eastAsia="Calibri" w:hAnsiTheme="minorHAnsi" w:cstheme="minorHAnsi"/>
          <w:color w:val="000000"/>
          <w:sz w:val="22"/>
          <w:szCs w:val="22"/>
          <w:bdr w:val="none" w:sz="0" w:space="0" w:color="auto" w:frame="1"/>
        </w:rPr>
        <w:t xml:space="preserve">LVAT išplėstinė teisėjų kolegija konstatavo, kad vien savaime faktas, jog Tarnybos direktorius, patvirtindamas Taisykles, detalizavo Įstatyme įtvirtintą reguliavimą, apibrėždamas subjektų, galinčių pateikti Įstatymo 26 straipsnio 2 dalies 3 punkto nuostatoje minimus paklausimus, ratą, negali būti pagrindas pripažinti, jog ginčijamas Taisyklių punktas (2.7 p.) prieštarauja Įstatymo 26 straipsnio 2 dalies 3 punktui (priežiūros įstaiga, įgyvendindama šio Įstatymo nuostatas, nagrinėja paklausimus dėl turto arba verslo vertinimo ataskaitos atitikties šio Įstatymo 22 straipsnyje nustatytiems reikalavimams). </w:t>
      </w:r>
      <w:r w:rsidR="00DA668A">
        <w:rPr>
          <w:rStyle w:val="normaltextrun"/>
          <w:rFonts w:asciiTheme="minorHAnsi" w:eastAsia="Calibri" w:hAnsiTheme="minorHAnsi" w:cstheme="minorHAnsi"/>
          <w:color w:val="000000"/>
          <w:sz w:val="22"/>
          <w:szCs w:val="22"/>
          <w:bdr w:val="none" w:sz="0" w:space="0" w:color="auto" w:frame="1"/>
        </w:rPr>
        <w:t>Šiuo</w:t>
      </w:r>
      <w:r w:rsidRPr="001B6E9F">
        <w:rPr>
          <w:rStyle w:val="normaltextrun"/>
          <w:rFonts w:asciiTheme="minorHAnsi" w:eastAsia="Calibri" w:hAnsiTheme="minorHAnsi" w:cstheme="minorHAnsi"/>
          <w:color w:val="000000"/>
          <w:sz w:val="22"/>
          <w:szCs w:val="22"/>
          <w:bdr w:val="none" w:sz="0" w:space="0" w:color="auto" w:frame="1"/>
        </w:rPr>
        <w:t xml:space="preserve"> atveju sisteminė Įstatymo normų analizė (</w:t>
      </w:r>
      <w:r w:rsidRPr="00DA668A">
        <w:rPr>
          <w:rStyle w:val="normaltextrun"/>
          <w:rFonts w:asciiTheme="minorHAnsi" w:eastAsia="Calibri" w:hAnsiTheme="minorHAnsi" w:cstheme="minorHAnsi"/>
          <w:i/>
          <w:iCs/>
          <w:color w:val="000000"/>
          <w:sz w:val="22"/>
          <w:szCs w:val="22"/>
          <w:bdr w:val="none" w:sz="0" w:space="0" w:color="auto" w:frame="1"/>
        </w:rPr>
        <w:t>inter alia</w:t>
      </w:r>
      <w:r w:rsidRPr="001B6E9F">
        <w:rPr>
          <w:rStyle w:val="normaltextrun"/>
          <w:rFonts w:asciiTheme="minorHAnsi" w:eastAsia="Calibri" w:hAnsiTheme="minorHAnsi" w:cstheme="minorHAnsi"/>
          <w:color w:val="000000"/>
          <w:sz w:val="22"/>
          <w:szCs w:val="22"/>
          <w:bdr w:val="none" w:sz="0" w:space="0" w:color="auto" w:frame="1"/>
        </w:rPr>
        <w:t xml:space="preserve"> </w:t>
      </w:r>
      <w:r w:rsidR="00DA668A">
        <w:rPr>
          <w:rStyle w:val="normaltextrun"/>
          <w:rFonts w:asciiTheme="minorHAnsi" w:eastAsia="Calibri" w:hAnsiTheme="minorHAnsi" w:cstheme="minorHAnsi"/>
          <w:color w:val="000000"/>
          <w:sz w:val="22"/>
          <w:szCs w:val="22"/>
          <w:bdr w:val="none" w:sz="0" w:space="0" w:color="auto" w:frame="1"/>
        </w:rPr>
        <w:t xml:space="preserve">(be kita ko) </w:t>
      </w:r>
      <w:r w:rsidRPr="001B6E9F">
        <w:rPr>
          <w:rStyle w:val="normaltextrun"/>
          <w:rFonts w:asciiTheme="minorHAnsi" w:eastAsia="Calibri" w:hAnsiTheme="minorHAnsi" w:cstheme="minorHAnsi"/>
          <w:color w:val="000000"/>
          <w:sz w:val="22"/>
          <w:szCs w:val="22"/>
          <w:bdr w:val="none" w:sz="0" w:space="0" w:color="auto" w:frame="1"/>
        </w:rPr>
        <w:t xml:space="preserve">atsižvelgiant į tai, kad įstatymų leidėjas ataskaitą yra eksplicitiškai pripažinęs užsakovo nuosavybe, jos ribotą prieinamumą tretiesiems asmenims, Tarnybos patikrinimo akto, kuriame išdėstyta išvada dėl turto arba verslo vertinimo ataskaitos atitikties Įstatymo 22 straipsnio reikalavimams, paskirtį ir apskundimo galimybę, atskiras paklausimų ir skundų nagrinėjimo procedūras) akivaizdžiai parodo, jog </w:t>
      </w:r>
      <w:r w:rsidRPr="0023549A">
        <w:rPr>
          <w:rStyle w:val="normaltextrun"/>
          <w:rFonts w:asciiTheme="minorHAnsi" w:eastAsia="Calibri" w:hAnsiTheme="minorHAnsi" w:cstheme="minorHAnsi"/>
          <w:color w:val="000000"/>
          <w:sz w:val="22"/>
          <w:szCs w:val="22"/>
          <w:u w:val="single"/>
          <w:bdr w:val="none" w:sz="0" w:space="0" w:color="auto" w:frame="1"/>
        </w:rPr>
        <w:t>įstatymų leidėjas nesiekė, jog subjektų, galinčių pateikti paklausimą dėl turto arba verslo vertinimo ataskaitos atitikties Įstatymo 22 straipsnyje nustatytiems reikalavimams, ratas būtų neribotas, t. y. iš Įstatymo implicitiškai išplaukia galimybė Tarnybos direktoriui, priimant poįstatyminius aktus, detalizuoti konkrečią paklausimų dėl turto arba verslo vertinimo ataskaitos atitikties Įstatymo 22 straipsnyje nustatytiems reikalavimams padavimo ir nagrinėjimo tvarką, be kita ko, šiuo tikslu numatant ir ribotą subjektų, galinčių pateikti Įstatymo 26 straipsnio 2 dalies 3</w:t>
      </w:r>
      <w:r w:rsidR="00DA668A" w:rsidRPr="0023549A">
        <w:rPr>
          <w:rStyle w:val="normaltextrun"/>
          <w:rFonts w:asciiTheme="minorHAnsi" w:eastAsia="Calibri" w:hAnsiTheme="minorHAnsi" w:cstheme="minorHAnsi"/>
          <w:color w:val="000000"/>
          <w:sz w:val="22"/>
          <w:szCs w:val="22"/>
          <w:u w:val="single"/>
          <w:bdr w:val="none" w:sz="0" w:space="0" w:color="auto" w:frame="1"/>
        </w:rPr>
        <w:t> </w:t>
      </w:r>
      <w:r w:rsidRPr="0023549A">
        <w:rPr>
          <w:rStyle w:val="normaltextrun"/>
          <w:rFonts w:asciiTheme="minorHAnsi" w:eastAsia="Calibri" w:hAnsiTheme="minorHAnsi" w:cstheme="minorHAnsi"/>
          <w:color w:val="000000"/>
          <w:sz w:val="22"/>
          <w:szCs w:val="22"/>
          <w:u w:val="single"/>
          <w:bdr w:val="none" w:sz="0" w:space="0" w:color="auto" w:frame="1"/>
        </w:rPr>
        <w:t>punkte minimus paklausimus, ratą</w:t>
      </w:r>
      <w:r w:rsidRPr="001B6E9F">
        <w:rPr>
          <w:rStyle w:val="normaltextrun"/>
          <w:rFonts w:asciiTheme="minorHAnsi" w:eastAsia="Calibri" w:hAnsiTheme="minorHAnsi" w:cstheme="minorHAnsi"/>
          <w:color w:val="000000"/>
          <w:sz w:val="22"/>
          <w:szCs w:val="22"/>
          <w:bdr w:val="none" w:sz="0" w:space="0" w:color="auto" w:frame="1"/>
        </w:rPr>
        <w:t>.</w:t>
      </w:r>
    </w:p>
    <w:p w14:paraId="545F9A98" w14:textId="4CEF51A7" w:rsidR="00DC1862" w:rsidRPr="001B6E9F" w:rsidRDefault="00DC1862" w:rsidP="001B6E9F">
      <w:pPr>
        <w:ind w:firstLine="567"/>
        <w:jc w:val="both"/>
        <w:rPr>
          <w:rStyle w:val="normaltextrun"/>
          <w:rFonts w:asciiTheme="minorHAnsi" w:eastAsia="Calibri" w:hAnsiTheme="minorHAnsi" w:cstheme="minorHAnsi"/>
          <w:color w:val="000000"/>
          <w:sz w:val="22"/>
          <w:szCs w:val="22"/>
          <w:bdr w:val="none" w:sz="0" w:space="0" w:color="auto" w:frame="1"/>
        </w:rPr>
      </w:pPr>
      <w:r w:rsidRPr="001B6E9F">
        <w:rPr>
          <w:rStyle w:val="normaltextrun"/>
          <w:rFonts w:asciiTheme="minorHAnsi" w:eastAsia="Calibri" w:hAnsiTheme="minorHAnsi" w:cstheme="minorHAnsi"/>
          <w:color w:val="000000"/>
          <w:sz w:val="22"/>
          <w:szCs w:val="22"/>
          <w:bdr w:val="none" w:sz="0" w:space="0" w:color="auto" w:frame="1"/>
        </w:rPr>
        <w:t xml:space="preserve">Vertindama Taisyklių 2.7 punkto teisėtumą tiek, kiek jame nėra minimas toks subjektas, kaip pareiškėjas pagrindinėje byloje, išplėstinė teisėjų kolegija konstatavo, kad </w:t>
      </w:r>
      <w:r w:rsidRPr="000A64BF">
        <w:rPr>
          <w:rStyle w:val="normaltextrun"/>
          <w:rFonts w:asciiTheme="minorHAnsi" w:eastAsia="Calibri" w:hAnsiTheme="minorHAnsi" w:cstheme="minorHAnsi"/>
          <w:color w:val="000000"/>
          <w:sz w:val="22"/>
          <w:szCs w:val="22"/>
          <w:u w:val="single"/>
          <w:bdr w:val="none" w:sz="0" w:space="0" w:color="auto" w:frame="1"/>
        </w:rPr>
        <w:t>asmenys, kurie savo suinteresuotumą kreiptis į Tarnybą dėl išvados pateikimo sieja su savo teisių ir interesų gynimu teismo nagrinėjamoje byloje, būtent toje byloje ir turėtų prašyti teismo kreiptis į Tarnybą su įpareigojimu pateikti išvadą dėl nagrinėjamai bylai aktualios turto arba verslo vertinimo ataskaitos atitikties Įstatymo 22 straipsnyje nustatytiems reikalavimams</w:t>
      </w:r>
      <w:r w:rsidRPr="001B6E9F">
        <w:rPr>
          <w:rStyle w:val="normaltextrun"/>
          <w:rFonts w:asciiTheme="minorHAnsi" w:eastAsia="Calibri" w:hAnsiTheme="minorHAnsi" w:cstheme="minorHAnsi"/>
          <w:color w:val="000000"/>
          <w:sz w:val="22"/>
          <w:szCs w:val="22"/>
          <w:bdr w:val="none" w:sz="0" w:space="0" w:color="auto" w:frame="1"/>
        </w:rPr>
        <w:t>, o teismas, įvertinęs pateiktą prašymą, turėtų spręsti dėl tokios Tarnybos išvados poreikio siekiant tinkamai išnagrinėti tarp šalių kilusį ginčą.</w:t>
      </w:r>
    </w:p>
    <w:p w14:paraId="72BA9FF1" w14:textId="14C6BA9A" w:rsidR="00DC1862" w:rsidRPr="001B6E9F" w:rsidRDefault="00DC1862" w:rsidP="001B6E9F">
      <w:pPr>
        <w:ind w:firstLine="567"/>
        <w:jc w:val="both"/>
        <w:rPr>
          <w:rStyle w:val="normaltextrun"/>
          <w:rFonts w:asciiTheme="minorHAnsi" w:eastAsia="Calibri" w:hAnsiTheme="minorHAnsi" w:cstheme="minorHAnsi"/>
          <w:color w:val="000000"/>
          <w:sz w:val="22"/>
          <w:szCs w:val="22"/>
          <w:bdr w:val="none" w:sz="0" w:space="0" w:color="auto" w:frame="1"/>
        </w:rPr>
      </w:pPr>
      <w:r w:rsidRPr="001B6E9F">
        <w:rPr>
          <w:rStyle w:val="normaltextrun"/>
          <w:rFonts w:asciiTheme="minorHAnsi" w:eastAsia="Calibri" w:hAnsiTheme="minorHAnsi" w:cstheme="minorHAnsi"/>
          <w:color w:val="000000"/>
          <w:sz w:val="22"/>
          <w:szCs w:val="22"/>
          <w:bdr w:val="none" w:sz="0" w:space="0" w:color="auto" w:frame="1"/>
        </w:rPr>
        <w:t>Atsižvelgdama į sprendime išdėstytus argumentus (tai, kad iš Įstatymo implicitiškai išplaukia galimybė Tarnybos direktoriui, be kita ko, numatyti ribotą subjektų (asmenų), galinčių pateikti Įstatymo 26 straipsnio 2</w:t>
      </w:r>
      <w:r w:rsidR="00CA7766">
        <w:rPr>
          <w:rStyle w:val="normaltextrun"/>
          <w:rFonts w:asciiTheme="minorHAnsi" w:eastAsia="Calibri" w:hAnsiTheme="minorHAnsi" w:cstheme="minorHAnsi"/>
          <w:color w:val="000000"/>
          <w:sz w:val="22"/>
          <w:szCs w:val="22"/>
          <w:bdr w:val="none" w:sz="0" w:space="0" w:color="auto" w:frame="1"/>
        </w:rPr>
        <w:t> </w:t>
      </w:r>
      <w:r w:rsidRPr="001B6E9F">
        <w:rPr>
          <w:rStyle w:val="normaltextrun"/>
          <w:rFonts w:asciiTheme="minorHAnsi" w:eastAsia="Calibri" w:hAnsiTheme="minorHAnsi" w:cstheme="minorHAnsi"/>
          <w:color w:val="000000"/>
          <w:sz w:val="22"/>
          <w:szCs w:val="22"/>
          <w:bdr w:val="none" w:sz="0" w:space="0" w:color="auto" w:frame="1"/>
        </w:rPr>
        <w:t xml:space="preserve">dalies 3 punkte minimus paklausimus, ratą; tai, kad </w:t>
      </w:r>
      <w:r w:rsidRPr="00CA7766">
        <w:rPr>
          <w:rStyle w:val="normaltextrun"/>
          <w:rFonts w:asciiTheme="minorHAnsi" w:eastAsia="Calibri" w:hAnsiTheme="minorHAnsi" w:cstheme="minorHAnsi"/>
          <w:color w:val="000000"/>
          <w:sz w:val="22"/>
          <w:szCs w:val="22"/>
          <w:u w:val="single"/>
          <w:bdr w:val="none" w:sz="0" w:space="0" w:color="auto" w:frame="1"/>
        </w:rPr>
        <w:t xml:space="preserve">pareiškėjas pagrindinėje byloje nedalyvavo valstybinės žemės, dėl kurios vertės buvo sudaryta ataskaita, pirkimo–pardavimo be aukciono santykiuose, t. y. jis nedalyvavo tuose santykiuose, kuriuose buvo naudojama ginčo ataskaita; jis nėra viešąjį interesą ginantis subjektas; pareiškėjas dalyvavo su ginčo sklypą įsigijusiu trečiuoju asmeniu susijusiose civilinėse bylose, kuriose, be kita ko, galėjo prašyti teismo kreiptis į Tarnybą su įpareigojimu pateikti išvadą dėl nagrinėjamai bylai aktualios </w:t>
      </w:r>
      <w:r w:rsidRPr="00CA7766">
        <w:rPr>
          <w:rStyle w:val="normaltextrun"/>
          <w:rFonts w:asciiTheme="minorHAnsi" w:eastAsia="Calibri" w:hAnsiTheme="minorHAnsi" w:cstheme="minorHAnsi"/>
          <w:color w:val="000000"/>
          <w:sz w:val="22"/>
          <w:szCs w:val="22"/>
          <w:u w:val="single"/>
          <w:bdr w:val="none" w:sz="0" w:space="0" w:color="auto" w:frame="1"/>
        </w:rPr>
        <w:lastRenderedPageBreak/>
        <w:t>turto arba verslo vertinimo ataskaitos atitikties Įstatymo 22 straipsnyje nustatytiems reikalavimams)</w:t>
      </w:r>
      <w:r w:rsidRPr="001B6E9F">
        <w:rPr>
          <w:rStyle w:val="normaltextrun"/>
          <w:rFonts w:asciiTheme="minorHAnsi" w:eastAsia="Calibri" w:hAnsiTheme="minorHAnsi" w:cstheme="minorHAnsi"/>
          <w:color w:val="000000"/>
          <w:sz w:val="22"/>
          <w:szCs w:val="22"/>
          <w:bdr w:val="none" w:sz="0" w:space="0" w:color="auto" w:frame="1"/>
        </w:rPr>
        <w:t>, išplėstinė teisėjų kolegija konstatavo, kad Taisyklių 2.7 punktas tiek, kiek jame nėra minimas toks subjektas, kaip pareiškėjas pagrindinėje byloje, neprieštarauja Įstatymo 26 straipsnio 2 dalies 3 punktui.</w:t>
      </w:r>
    </w:p>
    <w:p w14:paraId="7C96E1E0" w14:textId="77777777" w:rsidR="00DC1862" w:rsidRPr="001B6E9F" w:rsidRDefault="00DC1862" w:rsidP="001B6E9F">
      <w:pPr>
        <w:ind w:firstLine="567"/>
        <w:jc w:val="both"/>
        <w:rPr>
          <w:rStyle w:val="normaltextrun"/>
          <w:rFonts w:asciiTheme="minorHAnsi" w:eastAsia="Calibri" w:hAnsiTheme="minorHAnsi" w:cstheme="minorHAnsi"/>
          <w:color w:val="000000"/>
          <w:sz w:val="22"/>
          <w:szCs w:val="22"/>
          <w:bdr w:val="none" w:sz="0" w:space="0" w:color="auto" w:frame="1"/>
        </w:rPr>
      </w:pPr>
      <w:r w:rsidRPr="001B6E9F">
        <w:rPr>
          <w:rStyle w:val="normaltextrun"/>
          <w:rFonts w:asciiTheme="minorHAnsi" w:eastAsia="Calibri" w:hAnsiTheme="minorHAnsi" w:cstheme="minorHAnsi"/>
          <w:color w:val="000000"/>
          <w:sz w:val="22"/>
          <w:szCs w:val="22"/>
          <w:bdr w:val="none" w:sz="0" w:space="0" w:color="auto" w:frame="1"/>
        </w:rPr>
        <w:t>Iš esmės tais pačiais argumentais atmestos ir abejonės dėl Taisyklių 2.7 punkto atitikties konstituciniam teisinės valstybės principui bei Viešojo administravimo įstatyme įtvirtintam įstatymų viršenybės principui.</w:t>
      </w:r>
    </w:p>
    <w:p w14:paraId="43643BFF" w14:textId="77777777" w:rsidR="00DC1862" w:rsidRDefault="00DC1862" w:rsidP="00DC1862">
      <w:pPr>
        <w:ind w:firstLine="567"/>
        <w:jc w:val="both"/>
        <w:rPr>
          <w:rStyle w:val="normaltextrun"/>
          <w:rFonts w:asciiTheme="minorHAnsi" w:eastAsia="Calibri" w:hAnsiTheme="minorHAnsi" w:cstheme="minorHAnsi"/>
          <w:color w:val="000000"/>
          <w:sz w:val="22"/>
          <w:szCs w:val="22"/>
          <w:bdr w:val="none" w:sz="0" w:space="0" w:color="auto" w:frame="1"/>
        </w:rPr>
      </w:pPr>
      <w:r w:rsidRPr="001B6E9F">
        <w:rPr>
          <w:rStyle w:val="normaltextrun"/>
          <w:rFonts w:asciiTheme="minorHAnsi" w:eastAsia="Calibri" w:hAnsiTheme="minorHAnsi" w:cstheme="minorHAnsi"/>
          <w:color w:val="000000"/>
          <w:sz w:val="22"/>
          <w:szCs w:val="22"/>
          <w:bdr w:val="none" w:sz="0" w:space="0" w:color="auto" w:frame="1"/>
        </w:rPr>
        <w:t>Išplėstinė teisėjų kolegija pripažino, kad Taisyklių 2.7 punktas tiek, kiek jame apribotas subjektų, galinčių pateikti Įstatymo 26 straipsnio</w:t>
      </w:r>
      <w:r w:rsidRPr="00DC1862">
        <w:rPr>
          <w:rStyle w:val="normaltextrun"/>
          <w:rFonts w:asciiTheme="minorHAnsi" w:eastAsia="Calibri" w:hAnsiTheme="minorHAnsi" w:cstheme="minorHAnsi"/>
          <w:color w:val="000000"/>
          <w:sz w:val="22"/>
          <w:szCs w:val="22"/>
          <w:bdr w:val="none" w:sz="0" w:space="0" w:color="auto" w:frame="1"/>
        </w:rPr>
        <w:t xml:space="preserve"> 2 dalies 3 punkte minimus paklausimus, ratas ir jame nėra minimas toks subjektas, kaip pareiškėjas individualiojoje byloje, kurioje buvo inicijuotas šios norminio administracinio akto nuostatos teisėtumo tyrimas, neprieštarauja pareiškėjo nurodytoms įstatymų nuostatoms ir konstituciniam teisinės valstybės principui.</w:t>
      </w:r>
    </w:p>
    <w:p w14:paraId="4EFE84EA" w14:textId="77777777" w:rsidR="0091451E" w:rsidRPr="00DC1862" w:rsidRDefault="0091451E" w:rsidP="00DC1862">
      <w:pPr>
        <w:ind w:firstLine="567"/>
        <w:jc w:val="both"/>
        <w:rPr>
          <w:rFonts w:asciiTheme="minorHAnsi" w:eastAsia="Calibri" w:hAnsiTheme="minorHAnsi" w:cstheme="minorHAnsi"/>
          <w:color w:val="000000"/>
          <w:sz w:val="22"/>
          <w:szCs w:val="22"/>
          <w:bdr w:val="none" w:sz="0" w:space="0" w:color="auto" w:frame="1"/>
        </w:rPr>
      </w:pPr>
    </w:p>
    <w:p w14:paraId="7DD1CE0F" w14:textId="79A73703" w:rsidR="00DC1862" w:rsidRPr="00DC1862" w:rsidRDefault="0091451E" w:rsidP="00DC1862">
      <w:pPr>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 xml:space="preserve">Išplėstinės teisėjų kolegijos </w:t>
      </w:r>
      <w:r w:rsidR="00DC1862" w:rsidRPr="00DC1862">
        <w:rPr>
          <w:rFonts w:asciiTheme="minorHAnsi" w:hAnsiTheme="minorHAnsi" w:cstheme="minorHAnsi"/>
          <w:color w:val="000000"/>
          <w:sz w:val="22"/>
          <w:szCs w:val="22"/>
          <w:shd w:val="clear" w:color="auto" w:fill="FFFFFF"/>
        </w:rPr>
        <w:t xml:space="preserve">2024 m. lapkričio 13 d. </w:t>
      </w:r>
      <w:r>
        <w:rPr>
          <w:rFonts w:asciiTheme="minorHAnsi" w:hAnsiTheme="minorHAnsi" w:cstheme="minorHAnsi"/>
          <w:color w:val="000000"/>
          <w:sz w:val="22"/>
          <w:szCs w:val="22"/>
          <w:shd w:val="clear" w:color="auto" w:fill="FFFFFF"/>
        </w:rPr>
        <w:t>sprendimas</w:t>
      </w:r>
      <w:r w:rsidR="00DC1862" w:rsidRPr="00DC1862">
        <w:rPr>
          <w:rFonts w:asciiTheme="minorHAnsi" w:hAnsiTheme="minorHAnsi" w:cstheme="minorHAnsi"/>
          <w:color w:val="000000"/>
          <w:sz w:val="22"/>
          <w:szCs w:val="22"/>
          <w:shd w:val="clear" w:color="auto" w:fill="FFFFFF"/>
        </w:rPr>
        <w:t xml:space="preserve"> administracinėje byloje Nr. eI-15-821/2024</w:t>
      </w:r>
    </w:p>
    <w:p w14:paraId="74DB1C3E" w14:textId="77777777" w:rsidR="00DC1862" w:rsidRPr="00DC1862" w:rsidRDefault="00DC1862" w:rsidP="00DC1862">
      <w:pPr>
        <w:jc w:val="both"/>
        <w:rPr>
          <w:rFonts w:asciiTheme="minorHAnsi" w:hAnsiTheme="minorHAnsi" w:cstheme="minorHAnsi"/>
          <w:color w:val="000000"/>
          <w:sz w:val="22"/>
          <w:szCs w:val="22"/>
          <w:shd w:val="clear" w:color="auto" w:fill="FFFFFF"/>
        </w:rPr>
      </w:pPr>
      <w:r w:rsidRPr="00DC1862">
        <w:rPr>
          <w:rFonts w:asciiTheme="minorHAnsi" w:hAnsiTheme="minorHAnsi" w:cstheme="minorHAnsi"/>
          <w:color w:val="000000"/>
          <w:sz w:val="22"/>
          <w:szCs w:val="22"/>
          <w:shd w:val="clear" w:color="auto" w:fill="FFFFFF"/>
        </w:rPr>
        <w:t>Teisminio proceso Nr. 3-66-3-00031-2024-0</w:t>
      </w:r>
    </w:p>
    <w:p w14:paraId="14D76E09" w14:textId="77777777" w:rsidR="00DC1862" w:rsidRPr="00DC1862" w:rsidRDefault="00DC1862" w:rsidP="00DC1862">
      <w:pPr>
        <w:jc w:val="both"/>
        <w:rPr>
          <w:rFonts w:asciiTheme="minorHAnsi" w:hAnsiTheme="minorHAnsi" w:cstheme="minorHAnsi"/>
          <w:color w:val="0000FF"/>
          <w:sz w:val="22"/>
          <w:szCs w:val="22"/>
          <w:u w:val="single"/>
          <w:shd w:val="clear" w:color="auto" w:fill="FFFFFF"/>
        </w:rPr>
      </w:pPr>
      <w:hyperlink r:id="rId9" w:history="1">
        <w:r w:rsidRPr="00DC1862">
          <w:rPr>
            <w:rStyle w:val="Hyperlink"/>
            <w:rFonts w:asciiTheme="minorHAnsi" w:hAnsiTheme="minorHAnsi" w:cstheme="minorHAnsi"/>
            <w:sz w:val="22"/>
            <w:szCs w:val="22"/>
            <w:shd w:val="clear" w:color="auto" w:fill="FFFFFF"/>
          </w:rPr>
          <w:t>Prieiga internete</w:t>
        </w:r>
      </w:hyperlink>
    </w:p>
    <w:p w14:paraId="3BFE9728" w14:textId="0506ED99" w:rsidR="00DC1862" w:rsidRDefault="00DC1862" w:rsidP="00431059">
      <w:pPr>
        <w:rPr>
          <w:rFonts w:asciiTheme="minorHAnsi" w:hAnsiTheme="minorHAnsi" w:cstheme="minorHAnsi"/>
        </w:rPr>
      </w:pPr>
    </w:p>
    <w:p w14:paraId="65A6ED0D" w14:textId="77777777" w:rsidR="00C10062" w:rsidRPr="00C10062" w:rsidRDefault="00C10062" w:rsidP="00C10062">
      <w:pPr>
        <w:pStyle w:val="Apzvalgai1"/>
        <w:rPr>
          <w:rFonts w:asciiTheme="minorHAnsi" w:hAnsiTheme="minorHAnsi" w:cstheme="minorHAnsi"/>
        </w:rPr>
      </w:pPr>
      <w:bookmarkStart w:id="15" w:name="_Toc187075129"/>
      <w:r w:rsidRPr="00C10062">
        <w:rPr>
          <w:rFonts w:asciiTheme="minorHAnsi" w:hAnsiTheme="minorHAnsi" w:cstheme="minorHAnsi"/>
        </w:rPr>
        <w:t>5. Rinkimai, referendumai ir politinių partijų veikla</w:t>
      </w:r>
      <w:bookmarkEnd w:id="15"/>
    </w:p>
    <w:p w14:paraId="4FE1064E" w14:textId="77777777" w:rsidR="00C10062" w:rsidRDefault="00C10062" w:rsidP="00C10062">
      <w:pPr>
        <w:pStyle w:val="NoSpacing"/>
        <w:ind w:firstLine="567"/>
        <w:jc w:val="both"/>
        <w:rPr>
          <w:rFonts w:cstheme="minorHAnsi"/>
          <w:b/>
          <w:bCs/>
          <w:u w:val="single"/>
        </w:rPr>
      </w:pPr>
      <w:r>
        <w:rPr>
          <w:rFonts w:cstheme="minorHAnsi"/>
          <w:b/>
          <w:bCs/>
          <w:u w:val="single"/>
        </w:rPr>
        <w:t>5.1. Seimo rinkimai</w:t>
      </w:r>
    </w:p>
    <w:p w14:paraId="06BBBE79" w14:textId="77777777" w:rsidR="00C10062" w:rsidRDefault="00C10062" w:rsidP="00C10062">
      <w:pPr>
        <w:pStyle w:val="NoSpacing"/>
        <w:ind w:firstLine="567"/>
        <w:jc w:val="both"/>
        <w:rPr>
          <w:rFonts w:cstheme="minorHAnsi"/>
          <w:b/>
          <w:bCs/>
          <w:u w:val="single"/>
        </w:rPr>
      </w:pPr>
    </w:p>
    <w:p w14:paraId="6B86DD27" w14:textId="21C2B220" w:rsidR="00C10062" w:rsidRPr="00C10062" w:rsidRDefault="00C10062" w:rsidP="00C10062">
      <w:pPr>
        <w:jc w:val="both"/>
        <w:outlineLvl w:val="1"/>
        <w:rPr>
          <w:rFonts w:asciiTheme="minorHAnsi" w:eastAsia="Calibri" w:hAnsiTheme="minorHAnsi" w:cstheme="minorHAnsi"/>
          <w:i/>
          <w:sz w:val="22"/>
          <w:szCs w:val="22"/>
        </w:rPr>
      </w:pPr>
      <w:bookmarkStart w:id="16" w:name="_Toc187075130"/>
      <w:r w:rsidRPr="00C10062">
        <w:rPr>
          <w:rFonts w:asciiTheme="minorHAnsi" w:eastAsia="Calibri" w:hAnsiTheme="minorHAnsi" w:cstheme="minorHAnsi"/>
          <w:i/>
          <w:sz w:val="22"/>
          <w:szCs w:val="22"/>
        </w:rPr>
        <w:t>Dėl rinkimų stebėtojo registravimo panaikinimo ir stebėtojo pažymėjimo anuliavimo apskundimo tvarkos</w:t>
      </w:r>
      <w:bookmarkEnd w:id="16"/>
    </w:p>
    <w:p w14:paraId="2FDF2006" w14:textId="77777777" w:rsidR="00C10062" w:rsidRDefault="00C10062" w:rsidP="00C10062">
      <w:pPr>
        <w:pStyle w:val="NoSpacing"/>
        <w:ind w:firstLine="567"/>
        <w:jc w:val="both"/>
        <w:rPr>
          <w:rFonts w:cstheme="minorHAnsi"/>
        </w:rPr>
      </w:pPr>
    </w:p>
    <w:p w14:paraId="1DDC4D97" w14:textId="45384546" w:rsidR="00C10062" w:rsidRDefault="00C10062" w:rsidP="00C10062">
      <w:pPr>
        <w:pStyle w:val="NoSpacing"/>
        <w:ind w:firstLine="567"/>
        <w:jc w:val="both"/>
        <w:rPr>
          <w:rFonts w:cstheme="minorHAnsi"/>
        </w:rPr>
      </w:pPr>
      <w:r>
        <w:rPr>
          <w:rFonts w:cstheme="minorHAnsi"/>
        </w:rPr>
        <w:t xml:space="preserve">Pareiškėjai </w:t>
      </w:r>
      <w:r w:rsidRPr="00FA1C79">
        <w:rPr>
          <w:rFonts w:cstheme="minorHAnsi"/>
        </w:rPr>
        <w:t xml:space="preserve">kreipėsi į </w:t>
      </w:r>
      <w:r>
        <w:rPr>
          <w:rFonts w:cstheme="minorHAnsi"/>
        </w:rPr>
        <w:t>LVAT</w:t>
      </w:r>
      <w:r w:rsidRPr="00FA1C79">
        <w:rPr>
          <w:rFonts w:cstheme="minorHAnsi"/>
        </w:rPr>
        <w:t xml:space="preserve"> su skundu, </w:t>
      </w:r>
      <w:r>
        <w:rPr>
          <w:rFonts w:cstheme="minorHAnsi"/>
        </w:rPr>
        <w:t>prašydami</w:t>
      </w:r>
      <w:r w:rsidRPr="00FA1C79">
        <w:rPr>
          <w:rFonts w:cstheme="minorHAnsi"/>
        </w:rPr>
        <w:t xml:space="preserve"> </w:t>
      </w:r>
      <w:r>
        <w:rPr>
          <w:rFonts w:cstheme="minorHAnsi"/>
        </w:rPr>
        <w:t>panaikinti</w:t>
      </w:r>
      <w:r w:rsidRPr="00984994">
        <w:rPr>
          <w:rFonts w:cstheme="minorHAnsi"/>
        </w:rPr>
        <w:t xml:space="preserve"> </w:t>
      </w:r>
      <w:r w:rsidRPr="00FA006E">
        <w:rPr>
          <w:rFonts w:cstheme="minorHAnsi"/>
        </w:rPr>
        <w:t>rinkimų apygardos Nr. 71 balsavimo komisijos Nr. 55 pirmininkės sprendimą dėl stebėtojų teisės atėmimo</w:t>
      </w:r>
      <w:r w:rsidRPr="00160409">
        <w:rPr>
          <w:rFonts w:cstheme="minorHAnsi"/>
        </w:rPr>
        <w:t>.</w:t>
      </w:r>
    </w:p>
    <w:p w14:paraId="2799514E" w14:textId="758F54AF" w:rsidR="00C10062" w:rsidRPr="00A77F34" w:rsidRDefault="00C10062" w:rsidP="00C10062">
      <w:pPr>
        <w:pStyle w:val="NoSpacing"/>
        <w:ind w:firstLine="567"/>
        <w:jc w:val="both"/>
        <w:rPr>
          <w:rFonts w:cstheme="minorHAnsi"/>
        </w:rPr>
      </w:pPr>
      <w:r>
        <w:rPr>
          <w:rFonts w:cstheme="minorHAnsi"/>
        </w:rPr>
        <w:t xml:space="preserve">LVAT pažymėjo, jog </w:t>
      </w:r>
      <w:r w:rsidRPr="00D107EA">
        <w:rPr>
          <w:rFonts w:cstheme="minorHAnsi"/>
        </w:rPr>
        <w:t>skundų nagrinėjimą rinkimų komisijose reglamentuoja Rinkimų kodekso 184</w:t>
      </w:r>
      <w:r>
        <w:rPr>
          <w:rFonts w:cstheme="minorHAnsi"/>
        </w:rPr>
        <w:t> </w:t>
      </w:r>
      <w:r w:rsidRPr="00D107EA">
        <w:rPr>
          <w:rFonts w:cstheme="minorHAnsi"/>
        </w:rPr>
        <w:t>straipsnis, kurio 2 dalyje nustatyta, jog apylinkės rinkimų komisijos sprendimas gali būti skundžiamas apygardos, savivaldybės rinkimų komisijai, o apygardos, savivaldybės rinkimų komisijos – Vyriausiajai rinkimų komisijai. Aukštesnė rinkimų komisija, išnagrinėjusi skundą dėl žemesnės rinkimų komisijos priimto sprendimo, turi teisę tokį sprendimą patvirtinti, panaikinti, pakeisti arba grąžinti nagrinėti iš naujo žemesnei rinkimų komisijai.</w:t>
      </w:r>
      <w:r>
        <w:rPr>
          <w:rFonts w:cstheme="minorHAnsi"/>
        </w:rPr>
        <w:t xml:space="preserve"> </w:t>
      </w:r>
      <w:r w:rsidRPr="00D107EA">
        <w:rPr>
          <w:rFonts w:cstheme="minorHAnsi"/>
        </w:rPr>
        <w:t xml:space="preserve">Regionų administracinis teismas yra pirmoji instancija administracinėms byloms dėl </w:t>
      </w:r>
      <w:r>
        <w:rPr>
          <w:rFonts w:cstheme="minorHAnsi"/>
        </w:rPr>
        <w:t>R</w:t>
      </w:r>
      <w:r w:rsidRPr="00D107EA">
        <w:rPr>
          <w:rFonts w:cstheme="minorHAnsi"/>
        </w:rPr>
        <w:t xml:space="preserve">inkimų kodekso ir </w:t>
      </w:r>
      <w:r>
        <w:rPr>
          <w:rFonts w:cstheme="minorHAnsi"/>
        </w:rPr>
        <w:t>R</w:t>
      </w:r>
      <w:r w:rsidRPr="00D107EA">
        <w:rPr>
          <w:rFonts w:cstheme="minorHAnsi"/>
        </w:rPr>
        <w:t xml:space="preserve">eferendumo konstitucinio įstatymo pažeidimų (ABTĮ 20 str. 1 d.), </w:t>
      </w:r>
      <w:r>
        <w:rPr>
          <w:rFonts w:cstheme="minorHAnsi"/>
        </w:rPr>
        <w:t xml:space="preserve">todėl </w:t>
      </w:r>
      <w:r w:rsidRPr="0002346C">
        <w:rPr>
          <w:rFonts w:cstheme="minorHAnsi"/>
          <w:u w:val="single"/>
        </w:rPr>
        <w:t>skunda</w:t>
      </w:r>
      <w:r>
        <w:rPr>
          <w:rFonts w:cstheme="minorHAnsi"/>
          <w:u w:val="single"/>
        </w:rPr>
        <w:t>i dėl</w:t>
      </w:r>
      <w:r w:rsidRPr="0002346C">
        <w:rPr>
          <w:rFonts w:cstheme="minorHAnsi"/>
          <w:u w:val="single"/>
        </w:rPr>
        <w:t xml:space="preserve"> rinkimų stebėtojo registravimo panaikinimo ir stebėtojo pažymėjimo anuliavimo nepriskirtin</w:t>
      </w:r>
      <w:r>
        <w:rPr>
          <w:rFonts w:cstheme="minorHAnsi"/>
          <w:u w:val="single"/>
        </w:rPr>
        <w:t>i</w:t>
      </w:r>
      <w:r w:rsidRPr="0002346C">
        <w:rPr>
          <w:rFonts w:cstheme="minorHAnsi"/>
          <w:u w:val="single"/>
        </w:rPr>
        <w:t xml:space="preserve"> </w:t>
      </w:r>
      <w:r w:rsidRPr="00A77F34">
        <w:rPr>
          <w:rFonts w:cstheme="minorHAnsi"/>
          <w:u w:val="single"/>
        </w:rPr>
        <w:t>LVAT, kaip pirmajai ir vienintelei instancijai</w:t>
      </w:r>
      <w:r w:rsidRPr="00A77F34">
        <w:rPr>
          <w:rFonts w:cstheme="minorHAnsi"/>
        </w:rPr>
        <w:t xml:space="preserve"> (ABTĮ 33 str. 2 d. 2 p.).</w:t>
      </w:r>
    </w:p>
    <w:p w14:paraId="3FD0E0B2" w14:textId="62D87D01" w:rsidR="00C10062" w:rsidRDefault="00C10062" w:rsidP="00C10062">
      <w:pPr>
        <w:pStyle w:val="NoSpacing"/>
        <w:ind w:firstLine="567"/>
        <w:jc w:val="both"/>
        <w:rPr>
          <w:rFonts w:cstheme="minorHAnsi"/>
        </w:rPr>
      </w:pPr>
      <w:r w:rsidRPr="00A77F34">
        <w:rPr>
          <w:rFonts w:cstheme="minorHAnsi"/>
        </w:rPr>
        <w:t>LVAT atsisakė priimti pareiškėjų skundą.</w:t>
      </w:r>
    </w:p>
    <w:p w14:paraId="4B48F1D1" w14:textId="77777777" w:rsidR="00C10062" w:rsidRDefault="00C10062" w:rsidP="00C10062">
      <w:pPr>
        <w:pStyle w:val="NoSpacing"/>
        <w:jc w:val="both"/>
        <w:rPr>
          <w:rFonts w:cstheme="minorHAnsi"/>
        </w:rPr>
      </w:pPr>
    </w:p>
    <w:p w14:paraId="4871C102" w14:textId="77777777" w:rsidR="00C10062" w:rsidRPr="00E81924" w:rsidRDefault="00C10062" w:rsidP="00C10062">
      <w:pPr>
        <w:pStyle w:val="NoSpacing"/>
        <w:jc w:val="both"/>
        <w:rPr>
          <w:rFonts w:cstheme="minorHAnsi"/>
        </w:rPr>
      </w:pPr>
      <w:bookmarkStart w:id="17" w:name="_Hlk127375374"/>
      <w:r w:rsidRPr="00A16236">
        <w:rPr>
          <w:rFonts w:cstheme="minorHAnsi"/>
        </w:rPr>
        <w:t xml:space="preserve">2024 m. </w:t>
      </w:r>
      <w:r>
        <w:rPr>
          <w:rFonts w:cstheme="minorHAnsi"/>
        </w:rPr>
        <w:t>lapkričio 20</w:t>
      </w:r>
      <w:r w:rsidRPr="00A16236">
        <w:rPr>
          <w:rFonts w:cstheme="minorHAnsi"/>
        </w:rPr>
        <w:t xml:space="preserve"> d.</w:t>
      </w:r>
      <w:r>
        <w:rPr>
          <w:rFonts w:cstheme="minorHAnsi"/>
        </w:rPr>
        <w:t xml:space="preserve"> nutartis </w:t>
      </w:r>
      <w:r w:rsidRPr="00E81924">
        <w:rPr>
          <w:rFonts w:cstheme="minorHAnsi"/>
        </w:rPr>
        <w:t xml:space="preserve">administracinėje byloje Nr. </w:t>
      </w:r>
      <w:r w:rsidRPr="007153A6">
        <w:rPr>
          <w:rFonts w:cstheme="minorHAnsi"/>
        </w:rPr>
        <w:t>eR-70-415/2024</w:t>
      </w:r>
    </w:p>
    <w:p w14:paraId="4F063AA6" w14:textId="77777777" w:rsidR="00C10062" w:rsidRPr="00E81924" w:rsidRDefault="00C10062" w:rsidP="00C10062">
      <w:pPr>
        <w:pStyle w:val="NoSpacing"/>
        <w:jc w:val="both"/>
        <w:rPr>
          <w:rFonts w:cstheme="minorHAnsi"/>
        </w:rPr>
      </w:pPr>
      <w:r w:rsidRPr="00E81924">
        <w:rPr>
          <w:rFonts w:cstheme="minorHAnsi"/>
        </w:rPr>
        <w:t xml:space="preserve">Teisminio proceso Nr. </w:t>
      </w:r>
      <w:r w:rsidRPr="007153A6">
        <w:rPr>
          <w:rFonts w:cstheme="minorHAnsi"/>
        </w:rPr>
        <w:t>3-66-3-00081-2024-5</w:t>
      </w:r>
    </w:p>
    <w:p w14:paraId="3D04D2BD" w14:textId="77777777" w:rsidR="00C10062" w:rsidRDefault="00C10062" w:rsidP="00C10062">
      <w:pPr>
        <w:pStyle w:val="NoSpacing"/>
        <w:jc w:val="both"/>
        <w:rPr>
          <w:rFonts w:cstheme="minorHAnsi"/>
          <w:color w:val="FF0000"/>
        </w:rPr>
      </w:pPr>
      <w:hyperlink r:id="rId10" w:history="1">
        <w:r w:rsidRPr="001420AC">
          <w:rPr>
            <w:rStyle w:val="Hyperlink"/>
            <w:rFonts w:cstheme="minorHAnsi"/>
          </w:rPr>
          <w:t>Prieiga internete</w:t>
        </w:r>
        <w:bookmarkEnd w:id="17"/>
      </w:hyperlink>
    </w:p>
    <w:p w14:paraId="7D156DBB" w14:textId="77777777" w:rsidR="00C10062" w:rsidRDefault="00C10062" w:rsidP="00C10062">
      <w:pPr>
        <w:pStyle w:val="NoSpacing"/>
        <w:jc w:val="both"/>
        <w:rPr>
          <w:rFonts w:cstheme="minorHAnsi"/>
        </w:rPr>
      </w:pPr>
    </w:p>
    <w:p w14:paraId="3A1F8D4E" w14:textId="77777777" w:rsidR="00C10062" w:rsidRDefault="00C10062" w:rsidP="00C10062">
      <w:pPr>
        <w:pStyle w:val="NoSpacing"/>
        <w:ind w:firstLine="567"/>
        <w:jc w:val="both"/>
        <w:rPr>
          <w:rFonts w:cstheme="minorHAnsi"/>
          <w:b/>
          <w:bCs/>
          <w:u w:val="single"/>
        </w:rPr>
      </w:pPr>
      <w:r>
        <w:rPr>
          <w:rFonts w:cstheme="minorHAnsi"/>
          <w:b/>
          <w:bCs/>
          <w:u w:val="single"/>
        </w:rPr>
        <w:t>5.7. Kiti su rinkimais, referendumais ir politinių partijų veikla susiję klausimai</w:t>
      </w:r>
    </w:p>
    <w:p w14:paraId="677CB23D" w14:textId="77777777" w:rsidR="00C10062" w:rsidRDefault="00C10062" w:rsidP="00C10062">
      <w:pPr>
        <w:pStyle w:val="NoSpacing"/>
        <w:jc w:val="both"/>
        <w:rPr>
          <w:rFonts w:cstheme="minorHAnsi"/>
        </w:rPr>
      </w:pPr>
    </w:p>
    <w:p w14:paraId="35CEC440" w14:textId="3DD72193" w:rsidR="00C10062" w:rsidRPr="00C10062" w:rsidRDefault="00C10062" w:rsidP="00C10062">
      <w:pPr>
        <w:jc w:val="both"/>
        <w:outlineLvl w:val="1"/>
        <w:rPr>
          <w:rFonts w:asciiTheme="minorHAnsi" w:eastAsia="Calibri" w:hAnsiTheme="minorHAnsi" w:cstheme="minorHAnsi"/>
          <w:i/>
          <w:sz w:val="22"/>
          <w:szCs w:val="22"/>
        </w:rPr>
      </w:pPr>
      <w:bookmarkStart w:id="18" w:name="_Toc187075131"/>
      <w:r w:rsidRPr="00C10062">
        <w:rPr>
          <w:rFonts w:asciiTheme="minorHAnsi" w:eastAsia="Calibri" w:hAnsiTheme="minorHAnsi" w:cstheme="minorHAnsi"/>
          <w:i/>
          <w:sz w:val="22"/>
          <w:szCs w:val="22"/>
        </w:rPr>
        <w:t>Dėl privalomo rinkimų komisijų narių darbo apmokėjimo</w:t>
      </w:r>
      <w:bookmarkEnd w:id="18"/>
    </w:p>
    <w:p w14:paraId="584B88EA" w14:textId="77777777" w:rsidR="00C10062" w:rsidRDefault="00C10062" w:rsidP="00C10062">
      <w:pPr>
        <w:pStyle w:val="NoSpacing"/>
        <w:jc w:val="both"/>
        <w:rPr>
          <w:rFonts w:cstheme="minorHAnsi"/>
        </w:rPr>
      </w:pPr>
    </w:p>
    <w:p w14:paraId="64D065A7" w14:textId="630E595F" w:rsidR="00C10062" w:rsidRDefault="00C10062" w:rsidP="00C10062">
      <w:pPr>
        <w:pStyle w:val="NoSpacing"/>
        <w:ind w:firstLine="567"/>
        <w:jc w:val="both"/>
      </w:pPr>
      <w:r>
        <w:t xml:space="preserve">Byloje nagrinėtas ginčas, kilęs dėl </w:t>
      </w:r>
      <w:r w:rsidRPr="00AD6E89">
        <w:t>Lietuvos Respublikos vyriausios rinkimų komisijos (toliau –</w:t>
      </w:r>
      <w:r>
        <w:t xml:space="preserve"> </w:t>
      </w:r>
      <w:r w:rsidRPr="00AD6E89">
        <w:t xml:space="preserve">VRK) </w:t>
      </w:r>
      <w:r>
        <w:t xml:space="preserve">sprendimo, </w:t>
      </w:r>
      <w:r w:rsidRPr="00EC6BFD">
        <w:t>kuriuo</w:t>
      </w:r>
      <w:r>
        <w:t xml:space="preserve"> </w:t>
      </w:r>
      <w:r w:rsidRPr="00AD6E89">
        <w:t>netenkintas pareiškėjo prašymas neskaičiuoti jam darbo užmokesčio už darbą savivaldybės rinkimų komisijoje ir nepildyti darbo užmokesčio žurnalo</w:t>
      </w:r>
      <w:r>
        <w:t>, pagrįstumo ir teisėtumo.</w:t>
      </w:r>
    </w:p>
    <w:p w14:paraId="29D8A00B" w14:textId="77777777" w:rsidR="00C10062" w:rsidRDefault="00C10062" w:rsidP="00C10062">
      <w:pPr>
        <w:pStyle w:val="NoSpacing"/>
        <w:ind w:firstLine="567"/>
        <w:jc w:val="both"/>
      </w:pPr>
      <w:r>
        <w:t xml:space="preserve">Pirmosios instancijos teismas atmetė pareiškėjo skundą, nustatęs, kad pagal galiojančius teisės aktus </w:t>
      </w:r>
      <w:r w:rsidRPr="00EE5083">
        <w:t>apylinkių rinkimų komisijos narių darbas yra apmokamas</w:t>
      </w:r>
      <w:r>
        <w:t>.</w:t>
      </w:r>
    </w:p>
    <w:p w14:paraId="7680A0CE" w14:textId="4C7E5F65" w:rsidR="00C10062" w:rsidRDefault="00C10062" w:rsidP="00C10062">
      <w:pPr>
        <w:pStyle w:val="NoSpacing"/>
        <w:ind w:firstLine="567"/>
        <w:jc w:val="both"/>
      </w:pPr>
      <w:r>
        <w:t>Sutikdamas su pirmosios instancijos teismo išvadomis, LVAT pažymėjo, jog Rinkimų kodekso 51 straipsnyje nustatyta, kad rinkimų komisijų narių darbas yra apmokamas – už darbo dieną rinkimų komisijose nustatomas atlyginimas pagal atitinkamus tarifus, skaičiuojamus nuo pareiginės algos bazinio dydžio. Rinkimų komisijų nariams, pirmininkams, pirmininko pavaduotojams ir šių komisijų sekretoriams už darbą rinkimų komisijose atlyginama pagal darbo laiko apskaitos žiniaraščių duomenis, neviršijant tai rinkimų komisijai nustatytų asignavimų darbo užmokesčiui. Kitokio teisinio reguliavimo, susijusio su rinkimų komisijų narių darbo neatlygint</w:t>
      </w:r>
      <w:r w:rsidR="002F45FC">
        <w:t>in</w:t>
      </w:r>
      <w:r>
        <w:t xml:space="preserve">umu, nei Rinkimų kodekse, nei Lėšų, skiriamų savivaldybių (apygardų) rinkimų (referendumo) komisijoms, planavimo, skyrimo, apskaitos ir atsiskaitymo tvarkos apraše, patvirtintame VRK 2022 m. spalio </w:t>
      </w:r>
      <w:r>
        <w:lastRenderedPageBreak/>
        <w:t>27</w:t>
      </w:r>
      <w:r w:rsidR="002F45FC">
        <w:t> </w:t>
      </w:r>
      <w:r>
        <w:t xml:space="preserve">d. sprendimu Nr. Sp-101, nėra nustatyta. </w:t>
      </w:r>
      <w:r w:rsidRPr="0002346C">
        <w:t xml:space="preserve">Taigi </w:t>
      </w:r>
      <w:r w:rsidRPr="009D1527">
        <w:rPr>
          <w:u w:val="single"/>
        </w:rPr>
        <w:t>nei Vilniaus rajono savivaldybės rinkimų komisija, nei VRK neturėjo teisinio pagrindo veikti kitaip, nei joms leido galiojantys teisės aktai, t. y. jos privalėjo atsisakyti tenkinti pareiškėjo prašymą, žymėti jo atliktą komisijos nario funkcijų vykdymą darbo laiko apskaitos žiniaraščiuose ir pagal tuos duomenis skaičiuoti atlyginimą</w:t>
      </w:r>
      <w:r w:rsidRPr="0002346C">
        <w:t>.</w:t>
      </w:r>
      <w:r>
        <w:t xml:space="preserve"> </w:t>
      </w:r>
      <w:r w:rsidRPr="00E95CC4">
        <w:t>Pareiškėjas galėjo nesutikti būti paskirtas komisijos nariu ar bet kada atsistatydinti. Prieš tapdamas rinkimų komisijos nariu, pareiškėjas savanoriškai raštiškai pasižadėjo gerbti ir vykdyti Konstituciją bei įstatymus, taigi sutiko dirbti apmokamą rinkimų komisijos nario darbą. Asmeniui pageidaujant prie rinkimų organizavimo ir vykdymo prisidėti visuomeniniais ar savanorystės pagrindais, jis gali tokią teisę realizuoti, atlikdamas kitokius vaidmenis, numatytus Rinkimų kodekso 91</w:t>
      </w:r>
      <w:r>
        <w:t>–</w:t>
      </w:r>
      <w:r w:rsidRPr="00E95CC4">
        <w:t>92 straipsniuose. Be to, pareiškėjas turi teisę savo nuožiūra gaunamą atlyginimą už vykdytas komisijos nario pareigas skirti labdarai ar paramai.</w:t>
      </w:r>
    </w:p>
    <w:p w14:paraId="3FA604BC" w14:textId="4F360D4A" w:rsidR="00C10062" w:rsidRDefault="00C10062" w:rsidP="00C10062">
      <w:pPr>
        <w:pStyle w:val="NoSpacing"/>
        <w:ind w:firstLine="567"/>
        <w:jc w:val="both"/>
      </w:pPr>
      <w:r>
        <w:t xml:space="preserve">LVAT taip pat atkreipė dėmesį, kad </w:t>
      </w:r>
      <w:r w:rsidRPr="00E95CC4">
        <w:t>visuomeninių santykių teisinis reguliavimas –</w:t>
      </w:r>
      <w:r>
        <w:t xml:space="preserve"> </w:t>
      </w:r>
      <w:r w:rsidRPr="00E95CC4">
        <w:t>darbo užmokesčio rinkimų komisijų nariams mokėjimo principai ir pagrindinės taisyklės</w:t>
      </w:r>
      <w:r>
        <w:t xml:space="preserve"> </w:t>
      </w:r>
      <w:r w:rsidRPr="00E95CC4">
        <w:t xml:space="preserve">– yra eksplicitiškai nustatytas Rinkimų kodekse. </w:t>
      </w:r>
      <w:r>
        <w:t>Pareiškėjui nepateikus į</w:t>
      </w:r>
      <w:r w:rsidRPr="00E95CC4">
        <w:t xml:space="preserve">tikinamų argumentų, kad Rinkimų kodekse būtų būtina papildomai nustatyti galimybę rinkimų komisijos nariams atlikti savo funkcijas neatlygintinai, </w:t>
      </w:r>
      <w:r>
        <w:t xml:space="preserve">byloje </w:t>
      </w:r>
      <w:r w:rsidRPr="00E95CC4">
        <w:t xml:space="preserve">konstatuota, kad legislatyvinė omisija </w:t>
      </w:r>
      <w:r>
        <w:t xml:space="preserve">šiuo aspektu </w:t>
      </w:r>
      <w:r w:rsidRPr="00E95CC4">
        <w:t>neegzistuoja.</w:t>
      </w:r>
    </w:p>
    <w:p w14:paraId="5F106A8D" w14:textId="77777777" w:rsidR="00C10062" w:rsidRDefault="00C10062" w:rsidP="00C10062">
      <w:pPr>
        <w:pStyle w:val="NoSpacing"/>
        <w:ind w:firstLine="567"/>
        <w:jc w:val="both"/>
      </w:pPr>
      <w:r>
        <w:t>LVAT atmetė pareiškėjo apeliacinį skundą.</w:t>
      </w:r>
    </w:p>
    <w:p w14:paraId="13D47D4A" w14:textId="77777777" w:rsidR="00C10062" w:rsidRDefault="00C10062" w:rsidP="00C10062">
      <w:pPr>
        <w:pStyle w:val="NoSpacing"/>
        <w:ind w:firstLine="567"/>
        <w:jc w:val="both"/>
        <w:rPr>
          <w:rFonts w:cstheme="minorHAnsi"/>
        </w:rPr>
      </w:pPr>
    </w:p>
    <w:p w14:paraId="59D74018" w14:textId="77777777" w:rsidR="00C10062" w:rsidRPr="00E81924" w:rsidRDefault="00C10062" w:rsidP="00C10062">
      <w:pPr>
        <w:pStyle w:val="NoSpacing"/>
        <w:jc w:val="both"/>
        <w:rPr>
          <w:rFonts w:cstheme="minorHAnsi"/>
        </w:rPr>
      </w:pPr>
      <w:r w:rsidRPr="00A16236">
        <w:rPr>
          <w:rFonts w:cstheme="minorHAnsi"/>
        </w:rPr>
        <w:t xml:space="preserve">2024 m. </w:t>
      </w:r>
      <w:r>
        <w:rPr>
          <w:rFonts w:cstheme="minorHAnsi"/>
        </w:rPr>
        <w:t>lapkričio 13</w:t>
      </w:r>
      <w:r w:rsidRPr="00A16236">
        <w:rPr>
          <w:rFonts w:cstheme="minorHAnsi"/>
        </w:rPr>
        <w:t xml:space="preserve"> d.</w:t>
      </w:r>
      <w:r>
        <w:rPr>
          <w:rFonts w:cstheme="minorHAnsi"/>
        </w:rPr>
        <w:t xml:space="preserve"> nutartis </w:t>
      </w:r>
      <w:r w:rsidRPr="00E81924">
        <w:rPr>
          <w:rFonts w:cstheme="minorHAnsi"/>
        </w:rPr>
        <w:t xml:space="preserve">administracinėje byloje Nr. </w:t>
      </w:r>
      <w:r w:rsidRPr="006E0BCF">
        <w:rPr>
          <w:rFonts w:cstheme="minorHAnsi"/>
        </w:rPr>
        <w:t>eA-848-552/2024</w:t>
      </w:r>
    </w:p>
    <w:p w14:paraId="31C2CC1C" w14:textId="77777777" w:rsidR="00C10062" w:rsidRPr="00E81924" w:rsidRDefault="00C10062" w:rsidP="00C10062">
      <w:pPr>
        <w:pStyle w:val="NoSpacing"/>
        <w:jc w:val="both"/>
        <w:rPr>
          <w:rFonts w:cstheme="minorHAnsi"/>
        </w:rPr>
      </w:pPr>
      <w:r w:rsidRPr="00E81924">
        <w:rPr>
          <w:rFonts w:cstheme="minorHAnsi"/>
        </w:rPr>
        <w:t xml:space="preserve">Teisminio proceso Nr. </w:t>
      </w:r>
      <w:r w:rsidRPr="006E0BCF">
        <w:rPr>
          <w:rFonts w:cstheme="minorHAnsi"/>
        </w:rPr>
        <w:t>3-61-3-00301-2023-4</w:t>
      </w:r>
    </w:p>
    <w:p w14:paraId="191D1D86" w14:textId="77777777" w:rsidR="00C10062" w:rsidRDefault="00C10062" w:rsidP="00C10062">
      <w:pPr>
        <w:pStyle w:val="NoSpacing"/>
        <w:jc w:val="both"/>
        <w:rPr>
          <w:rFonts w:cstheme="minorHAnsi"/>
          <w:color w:val="FF0000"/>
        </w:rPr>
      </w:pPr>
      <w:hyperlink r:id="rId11" w:history="1">
        <w:r w:rsidRPr="001420AC">
          <w:rPr>
            <w:rStyle w:val="Hyperlink"/>
            <w:rFonts w:cstheme="minorHAnsi"/>
          </w:rPr>
          <w:t>Prieiga internete</w:t>
        </w:r>
      </w:hyperlink>
    </w:p>
    <w:p w14:paraId="75D5BEED" w14:textId="77777777" w:rsidR="00C10062" w:rsidRPr="003756A5" w:rsidRDefault="00C10062" w:rsidP="00431059">
      <w:pPr>
        <w:rPr>
          <w:rFonts w:asciiTheme="minorHAnsi" w:hAnsiTheme="minorHAnsi" w:cstheme="minorHAnsi"/>
        </w:rPr>
      </w:pPr>
    </w:p>
    <w:p w14:paraId="537B99AA" w14:textId="42B132E9" w:rsidR="00356685" w:rsidRPr="003756A5" w:rsidRDefault="00356685" w:rsidP="00AB718F">
      <w:pPr>
        <w:pStyle w:val="Apzvalgai1"/>
        <w:rPr>
          <w:rFonts w:asciiTheme="minorHAnsi" w:hAnsiTheme="minorHAnsi" w:cstheme="minorHAnsi"/>
        </w:rPr>
      </w:pPr>
      <w:bookmarkStart w:id="19" w:name="_Toc187075132"/>
      <w:r w:rsidRPr="003756A5">
        <w:rPr>
          <w:rFonts w:asciiTheme="minorHAnsi" w:hAnsiTheme="minorHAnsi" w:cstheme="minorHAnsi"/>
        </w:rPr>
        <w:t>8. Užsieniečių teisinė padėtis</w:t>
      </w:r>
      <w:bookmarkEnd w:id="19"/>
    </w:p>
    <w:p w14:paraId="70F7E4E4" w14:textId="77777777" w:rsidR="00010AE4" w:rsidRDefault="00010AE4" w:rsidP="00010AE4">
      <w:pPr>
        <w:pStyle w:val="NoSpacing"/>
        <w:ind w:firstLine="567"/>
        <w:jc w:val="both"/>
        <w:rPr>
          <w:rFonts w:cstheme="minorHAnsi"/>
          <w:b/>
          <w:bCs/>
          <w:u w:val="single"/>
        </w:rPr>
      </w:pPr>
      <w:r>
        <w:rPr>
          <w:rFonts w:cstheme="minorHAnsi"/>
          <w:b/>
          <w:bCs/>
          <w:u w:val="single"/>
        </w:rPr>
        <w:t>8.3. Trečiųjų šalių piliečių ir jų šeimos narių teisė apsigyventi Lietuvoje</w:t>
      </w:r>
    </w:p>
    <w:p w14:paraId="7114EF38" w14:textId="77777777" w:rsidR="00010AE4" w:rsidRDefault="00010AE4" w:rsidP="00010AE4">
      <w:pPr>
        <w:pStyle w:val="NoSpacing"/>
        <w:ind w:firstLine="1134"/>
        <w:jc w:val="both"/>
        <w:rPr>
          <w:rFonts w:cstheme="minorHAnsi"/>
          <w:b/>
          <w:bCs/>
          <w:u w:val="single"/>
        </w:rPr>
      </w:pPr>
      <w:r>
        <w:rPr>
          <w:rFonts w:cstheme="minorHAnsi"/>
          <w:b/>
          <w:bCs/>
          <w:u w:val="single"/>
        </w:rPr>
        <w:t>8.3.1.</w:t>
      </w:r>
      <w:r w:rsidRPr="00DF3F38">
        <w:rPr>
          <w:rFonts w:cstheme="minorHAnsi"/>
          <w:b/>
          <w:bCs/>
          <w:u w:val="single"/>
        </w:rPr>
        <w:t xml:space="preserve"> </w:t>
      </w:r>
      <w:r>
        <w:rPr>
          <w:rFonts w:cstheme="minorHAnsi"/>
          <w:b/>
          <w:bCs/>
          <w:u w:val="single"/>
        </w:rPr>
        <w:t xml:space="preserve">Trečiųjų šalių piliečių ir jų šeimos narių teisė laikinai gyventi Lietuvoje </w:t>
      </w:r>
    </w:p>
    <w:p w14:paraId="4B2A22DE" w14:textId="77777777" w:rsidR="00010AE4" w:rsidRDefault="00010AE4" w:rsidP="00010AE4">
      <w:pPr>
        <w:pStyle w:val="NoSpacing"/>
        <w:jc w:val="both"/>
        <w:rPr>
          <w:rFonts w:cstheme="minorHAnsi"/>
        </w:rPr>
      </w:pPr>
    </w:p>
    <w:p w14:paraId="2A886B4D" w14:textId="03C657F7" w:rsidR="00010AE4" w:rsidRPr="00010AE4" w:rsidRDefault="00010AE4" w:rsidP="00010AE4">
      <w:pPr>
        <w:jc w:val="both"/>
        <w:outlineLvl w:val="1"/>
        <w:rPr>
          <w:rFonts w:asciiTheme="minorHAnsi" w:eastAsia="Calibri" w:hAnsiTheme="minorHAnsi" w:cstheme="minorHAnsi"/>
          <w:i/>
          <w:sz w:val="22"/>
          <w:szCs w:val="22"/>
        </w:rPr>
      </w:pPr>
      <w:bookmarkStart w:id="20" w:name="_Toc187075133"/>
      <w:r w:rsidRPr="00010AE4">
        <w:rPr>
          <w:rFonts w:asciiTheme="minorHAnsi" w:eastAsia="Calibri" w:hAnsiTheme="minorHAnsi" w:cstheme="minorHAnsi"/>
          <w:i/>
          <w:sz w:val="22"/>
          <w:szCs w:val="22"/>
        </w:rPr>
        <w:t>Dėl teisės normų, įtvirtin</w:t>
      </w:r>
      <w:r w:rsidR="00A77F34">
        <w:rPr>
          <w:rFonts w:asciiTheme="minorHAnsi" w:eastAsia="Calibri" w:hAnsiTheme="minorHAnsi" w:cstheme="minorHAnsi"/>
          <w:i/>
          <w:sz w:val="22"/>
          <w:szCs w:val="22"/>
        </w:rPr>
        <w:t>ančių leidimo laikinai gyventi Lietuvoje panaikinimo pagrindus</w:t>
      </w:r>
      <w:r w:rsidRPr="00010AE4">
        <w:rPr>
          <w:rFonts w:asciiTheme="minorHAnsi" w:eastAsia="Calibri" w:hAnsiTheme="minorHAnsi" w:cstheme="minorHAnsi"/>
          <w:i/>
          <w:sz w:val="22"/>
          <w:szCs w:val="22"/>
        </w:rPr>
        <w:t>, konkurencijos</w:t>
      </w:r>
      <w:bookmarkEnd w:id="20"/>
    </w:p>
    <w:p w14:paraId="4E893BD8" w14:textId="77777777" w:rsidR="00010AE4" w:rsidRPr="00010AE4" w:rsidRDefault="00010AE4" w:rsidP="00010AE4">
      <w:pPr>
        <w:jc w:val="both"/>
        <w:outlineLvl w:val="1"/>
        <w:rPr>
          <w:rFonts w:asciiTheme="minorHAnsi" w:eastAsia="Calibri" w:hAnsiTheme="minorHAnsi" w:cstheme="minorHAnsi"/>
          <w:i/>
          <w:sz w:val="22"/>
          <w:szCs w:val="22"/>
        </w:rPr>
      </w:pPr>
      <w:bookmarkStart w:id="21" w:name="_Toc187075134"/>
      <w:r w:rsidRPr="00010AE4">
        <w:rPr>
          <w:rFonts w:asciiTheme="minorHAnsi" w:eastAsia="Calibri" w:hAnsiTheme="minorHAnsi" w:cstheme="minorHAnsi"/>
          <w:i/>
          <w:sz w:val="22"/>
          <w:szCs w:val="22"/>
        </w:rPr>
        <w:t>Dėl užsieniečio, kurio leidimas laikinai gyventi Lietuvoje naikinamas, teisės būtų išklausytam</w:t>
      </w:r>
      <w:bookmarkEnd w:id="21"/>
    </w:p>
    <w:p w14:paraId="01C9A344" w14:textId="77777777" w:rsidR="00010AE4" w:rsidRDefault="00010AE4" w:rsidP="00010AE4">
      <w:pPr>
        <w:pStyle w:val="NoSpacing"/>
        <w:jc w:val="both"/>
        <w:rPr>
          <w:rFonts w:cstheme="minorHAnsi"/>
        </w:rPr>
      </w:pPr>
    </w:p>
    <w:p w14:paraId="2F891A5B" w14:textId="1AA87032" w:rsidR="00010AE4" w:rsidRDefault="00010AE4" w:rsidP="00010AE4">
      <w:pPr>
        <w:pStyle w:val="NoSpacing"/>
        <w:ind w:firstLine="567"/>
        <w:jc w:val="both"/>
        <w:rPr>
          <w:rFonts w:cstheme="minorHAnsi"/>
        </w:rPr>
      </w:pPr>
      <w:r w:rsidRPr="000A73C0">
        <w:rPr>
          <w:rFonts w:cstheme="minorHAnsi"/>
        </w:rPr>
        <w:t xml:space="preserve">Byloje nagrinėtas ginčas, kilęs dėl </w:t>
      </w:r>
      <w:r>
        <w:rPr>
          <w:rFonts w:cstheme="minorHAnsi"/>
        </w:rPr>
        <w:t>MD sprendimo</w:t>
      </w:r>
      <w:r w:rsidRPr="00E730CF">
        <w:rPr>
          <w:rFonts w:cstheme="minorHAnsi"/>
        </w:rPr>
        <w:t>, kuri</w:t>
      </w:r>
      <w:r>
        <w:rPr>
          <w:rFonts w:cstheme="minorHAnsi"/>
        </w:rPr>
        <w:t>uo</w:t>
      </w:r>
      <w:r w:rsidRPr="00E730CF">
        <w:rPr>
          <w:rFonts w:cstheme="minorHAnsi"/>
        </w:rPr>
        <w:t xml:space="preserve"> </w:t>
      </w:r>
      <w:r>
        <w:rPr>
          <w:rFonts w:cstheme="minorHAnsi"/>
        </w:rPr>
        <w:t>panaikintas pareiškėjo leidimas laikinai gyventi Lietuvoje</w:t>
      </w:r>
      <w:r w:rsidRPr="000A73C0">
        <w:rPr>
          <w:rFonts w:cstheme="minorHAnsi"/>
        </w:rPr>
        <w:t>, pagrįstumo ir teisėtumo.</w:t>
      </w:r>
      <w:r>
        <w:rPr>
          <w:rFonts w:cstheme="minorHAnsi"/>
        </w:rPr>
        <w:t xml:space="preserve"> Pareiškėjui išduotas leidimas laikinai gyventi Lietuvoje panaikintas pagal UTPĮ </w:t>
      </w:r>
      <w:r w:rsidRPr="006D71FA">
        <w:rPr>
          <w:rFonts w:cstheme="minorHAnsi"/>
        </w:rPr>
        <w:t>50 straipsnio 1 dalies 2 punkt</w:t>
      </w:r>
      <w:r>
        <w:rPr>
          <w:rFonts w:cstheme="minorHAnsi"/>
        </w:rPr>
        <w:t>ą</w:t>
      </w:r>
      <w:r w:rsidRPr="006D71FA">
        <w:rPr>
          <w:rFonts w:cstheme="minorHAnsi"/>
        </w:rPr>
        <w:t xml:space="preserve"> ir 35 straipsnio 1 dalies 2 bei 5 punkt</w:t>
      </w:r>
      <w:r>
        <w:rPr>
          <w:rFonts w:cstheme="minorHAnsi"/>
        </w:rPr>
        <w:t>u</w:t>
      </w:r>
      <w:r w:rsidRPr="006D71FA">
        <w:rPr>
          <w:rFonts w:cstheme="minorHAnsi"/>
        </w:rPr>
        <w:t xml:space="preserve">s </w:t>
      </w:r>
      <w:r>
        <w:rPr>
          <w:rFonts w:cstheme="minorHAnsi"/>
        </w:rPr>
        <w:t xml:space="preserve">dėl to, kad </w:t>
      </w:r>
      <w:r w:rsidRPr="006D71FA">
        <w:rPr>
          <w:rFonts w:cstheme="minorHAnsi"/>
        </w:rPr>
        <w:t>norėdamas gauti leidimą laikinai gyventi</w:t>
      </w:r>
      <w:r>
        <w:rPr>
          <w:rFonts w:cstheme="minorHAnsi"/>
        </w:rPr>
        <w:t xml:space="preserve"> pareiškėjas pateikė</w:t>
      </w:r>
      <w:r w:rsidRPr="006D71FA">
        <w:rPr>
          <w:rFonts w:cstheme="minorHAnsi"/>
        </w:rPr>
        <w:t xml:space="preserve"> tikrovės neatitinka</w:t>
      </w:r>
      <w:r>
        <w:rPr>
          <w:rFonts w:cstheme="minorHAnsi"/>
        </w:rPr>
        <w:t>nčius duomenis</w:t>
      </w:r>
      <w:r w:rsidRPr="006D71FA">
        <w:rPr>
          <w:rFonts w:cstheme="minorHAnsi"/>
        </w:rPr>
        <w:t xml:space="preserve">, taip pat </w:t>
      </w:r>
      <w:r>
        <w:rPr>
          <w:rFonts w:cstheme="minorHAnsi"/>
        </w:rPr>
        <w:t>dėl to</w:t>
      </w:r>
      <w:r w:rsidRPr="006D71FA">
        <w:rPr>
          <w:rFonts w:cstheme="minorHAnsi"/>
        </w:rPr>
        <w:t xml:space="preserve">, jog </w:t>
      </w:r>
      <w:r>
        <w:rPr>
          <w:rFonts w:cstheme="minorHAnsi"/>
        </w:rPr>
        <w:t xml:space="preserve">pareiškėjas </w:t>
      </w:r>
      <w:r w:rsidRPr="006D71FA">
        <w:rPr>
          <w:rFonts w:cstheme="minorHAnsi"/>
        </w:rPr>
        <w:t>neturi pakankamai lėšų ir (ar) negauna reguliarių pajamų, kurių paka</w:t>
      </w:r>
      <w:r>
        <w:rPr>
          <w:rFonts w:cstheme="minorHAnsi"/>
        </w:rPr>
        <w:t>ktų</w:t>
      </w:r>
      <w:r w:rsidRPr="006D71FA">
        <w:rPr>
          <w:rFonts w:cstheme="minorHAnsi"/>
        </w:rPr>
        <w:t xml:space="preserve"> pragyventi Lietuvoje</w:t>
      </w:r>
      <w:r>
        <w:rPr>
          <w:rFonts w:cstheme="minorHAnsi"/>
        </w:rPr>
        <w:t>.</w:t>
      </w:r>
    </w:p>
    <w:p w14:paraId="39C4E6CF" w14:textId="4AE5017C" w:rsidR="00010AE4" w:rsidRDefault="00010AE4" w:rsidP="00010AE4">
      <w:pPr>
        <w:pStyle w:val="NoSpacing"/>
        <w:ind w:firstLine="567"/>
        <w:jc w:val="both"/>
        <w:rPr>
          <w:rFonts w:cstheme="minorHAnsi"/>
        </w:rPr>
      </w:pPr>
      <w:r>
        <w:rPr>
          <w:rFonts w:cstheme="minorHAnsi"/>
        </w:rPr>
        <w:t>Pirmosios instancijos teismas atmetė pareiškėjo skundą, nustatęs, kad UTPĮ</w:t>
      </w:r>
      <w:r w:rsidRPr="00267A11">
        <w:t xml:space="preserve"> </w:t>
      </w:r>
      <w:r w:rsidRPr="00267A11">
        <w:rPr>
          <w:rFonts w:cstheme="minorHAnsi"/>
        </w:rPr>
        <w:t>keliamus reikalavimus</w:t>
      </w:r>
      <w:r>
        <w:rPr>
          <w:rFonts w:cstheme="minorHAnsi"/>
        </w:rPr>
        <w:t xml:space="preserve"> pareiškėjas</w:t>
      </w:r>
      <w:r w:rsidRPr="00267A11">
        <w:rPr>
          <w:rFonts w:cstheme="minorHAnsi"/>
        </w:rPr>
        <w:t xml:space="preserve"> turėjo atitikti ne tik prašymo </w:t>
      </w:r>
      <w:r>
        <w:rPr>
          <w:rFonts w:cstheme="minorHAnsi"/>
        </w:rPr>
        <w:t xml:space="preserve">išduoti leidimą laikinai gyventi Lietuvoje </w:t>
      </w:r>
      <w:r w:rsidRPr="00267A11">
        <w:rPr>
          <w:rFonts w:cstheme="minorHAnsi"/>
        </w:rPr>
        <w:t xml:space="preserve">pateikimo, bet ir viso </w:t>
      </w:r>
      <w:r>
        <w:rPr>
          <w:rFonts w:cstheme="minorHAnsi"/>
        </w:rPr>
        <w:t xml:space="preserve">šio </w:t>
      </w:r>
      <w:r w:rsidRPr="00267A11">
        <w:rPr>
          <w:rFonts w:cstheme="minorHAnsi"/>
        </w:rPr>
        <w:t>leidimo galiojimo metu</w:t>
      </w:r>
      <w:r>
        <w:rPr>
          <w:rFonts w:cstheme="minorHAnsi"/>
        </w:rPr>
        <w:t>.</w:t>
      </w:r>
    </w:p>
    <w:p w14:paraId="51D76432" w14:textId="623F5538" w:rsidR="00010AE4" w:rsidRDefault="00010AE4" w:rsidP="00010AE4">
      <w:pPr>
        <w:pStyle w:val="NoSpacing"/>
        <w:ind w:firstLine="567"/>
        <w:jc w:val="both"/>
        <w:rPr>
          <w:rFonts w:cstheme="minorHAnsi"/>
        </w:rPr>
      </w:pPr>
      <w:r>
        <w:rPr>
          <w:rFonts w:cstheme="minorHAnsi"/>
        </w:rPr>
        <w:t>Įvertinusi</w:t>
      </w:r>
      <w:r w:rsidRPr="00CA0F79">
        <w:rPr>
          <w:rFonts w:cstheme="minorHAnsi"/>
        </w:rPr>
        <w:t xml:space="preserve"> </w:t>
      </w:r>
      <w:r>
        <w:rPr>
          <w:rFonts w:cstheme="minorHAnsi"/>
        </w:rPr>
        <w:t xml:space="preserve">teismų praktiką dėl </w:t>
      </w:r>
      <w:r w:rsidRPr="00CA0F79">
        <w:rPr>
          <w:rFonts w:cstheme="minorHAnsi"/>
        </w:rPr>
        <w:t>UTP</w:t>
      </w:r>
      <w:r>
        <w:rPr>
          <w:rFonts w:cstheme="minorHAnsi"/>
        </w:rPr>
        <w:t>Į</w:t>
      </w:r>
      <w:r w:rsidRPr="00CA0F79">
        <w:rPr>
          <w:rFonts w:cstheme="minorHAnsi"/>
        </w:rPr>
        <w:t xml:space="preserve"> 35 straipsnio 1 dalies 2 punkto taikymo</w:t>
      </w:r>
      <w:r>
        <w:rPr>
          <w:rFonts w:cstheme="minorHAnsi"/>
        </w:rPr>
        <w:t>,</w:t>
      </w:r>
      <w:r w:rsidRPr="00CA0F79">
        <w:rPr>
          <w:rFonts w:cstheme="minorHAnsi"/>
        </w:rPr>
        <w:t xml:space="preserve"> </w:t>
      </w:r>
      <w:r>
        <w:rPr>
          <w:rFonts w:cstheme="minorHAnsi"/>
        </w:rPr>
        <w:t>LVAT teisėjų kolegija</w:t>
      </w:r>
      <w:r w:rsidRPr="00CA0F79">
        <w:rPr>
          <w:rFonts w:cstheme="minorHAnsi"/>
        </w:rPr>
        <w:t xml:space="preserve"> </w:t>
      </w:r>
      <w:r w:rsidRPr="00764141">
        <w:rPr>
          <w:rFonts w:cstheme="minorHAnsi"/>
          <w:u w:val="single"/>
        </w:rPr>
        <w:t>konstat</w:t>
      </w:r>
      <w:r>
        <w:rPr>
          <w:rFonts w:cstheme="minorHAnsi"/>
          <w:u w:val="single"/>
        </w:rPr>
        <w:t>avo</w:t>
      </w:r>
      <w:r w:rsidRPr="00764141">
        <w:rPr>
          <w:rFonts w:cstheme="minorHAnsi"/>
          <w:u w:val="single"/>
        </w:rPr>
        <w:t xml:space="preserve"> teisės normų, įtvirtintų UTP</w:t>
      </w:r>
      <w:r>
        <w:rPr>
          <w:rFonts w:cstheme="minorHAnsi"/>
          <w:u w:val="single"/>
        </w:rPr>
        <w:t>Į</w:t>
      </w:r>
      <w:r w:rsidRPr="00764141">
        <w:rPr>
          <w:rFonts w:cstheme="minorHAnsi"/>
          <w:u w:val="single"/>
        </w:rPr>
        <w:t xml:space="preserve"> 35 straipsnio 1 dalies 2</w:t>
      </w:r>
      <w:r>
        <w:rPr>
          <w:rFonts w:cstheme="minorHAnsi"/>
          <w:u w:val="single"/>
        </w:rPr>
        <w:t xml:space="preserve"> punkte</w:t>
      </w:r>
      <w:r w:rsidRPr="00615477">
        <w:rPr>
          <w:rStyle w:val="FootnoteReference"/>
          <w:rFonts w:cstheme="minorHAnsi"/>
          <w:u w:val="single"/>
        </w:rPr>
        <w:footnoteReference w:id="1"/>
      </w:r>
      <w:r w:rsidRPr="00764141">
        <w:rPr>
          <w:rFonts w:cstheme="minorHAnsi"/>
          <w:u w:val="single"/>
        </w:rPr>
        <w:t xml:space="preserve"> ir 14</w:t>
      </w:r>
      <w:r>
        <w:rPr>
          <w:rFonts w:cstheme="minorHAnsi"/>
          <w:u w:val="single"/>
        </w:rPr>
        <w:t xml:space="preserve"> punkte</w:t>
      </w:r>
      <w:r w:rsidRPr="00615477">
        <w:rPr>
          <w:rStyle w:val="FootnoteReference"/>
          <w:rFonts w:cstheme="minorHAnsi"/>
          <w:u w:val="single"/>
        </w:rPr>
        <w:footnoteReference w:id="2"/>
      </w:r>
      <w:r w:rsidRPr="00764141">
        <w:rPr>
          <w:rFonts w:cstheme="minorHAnsi"/>
          <w:u w:val="single"/>
        </w:rPr>
        <w:t>, konkurencijos teisin</w:t>
      </w:r>
      <w:r>
        <w:rPr>
          <w:rFonts w:cstheme="minorHAnsi"/>
          <w:u w:val="single"/>
        </w:rPr>
        <w:t>ę</w:t>
      </w:r>
      <w:r w:rsidRPr="00764141">
        <w:rPr>
          <w:rFonts w:cstheme="minorHAnsi"/>
          <w:u w:val="single"/>
        </w:rPr>
        <w:t xml:space="preserve"> padėt</w:t>
      </w:r>
      <w:r>
        <w:rPr>
          <w:rFonts w:cstheme="minorHAnsi"/>
          <w:u w:val="single"/>
        </w:rPr>
        <w:t>į</w:t>
      </w:r>
      <w:r w:rsidRPr="00764141">
        <w:rPr>
          <w:rFonts w:cstheme="minorHAnsi"/>
          <w:u w:val="single"/>
        </w:rPr>
        <w:t xml:space="preserve"> bei pažymė</w:t>
      </w:r>
      <w:r>
        <w:rPr>
          <w:rFonts w:cstheme="minorHAnsi"/>
          <w:u w:val="single"/>
        </w:rPr>
        <w:t>jo</w:t>
      </w:r>
      <w:r w:rsidRPr="00764141">
        <w:rPr>
          <w:rFonts w:cstheme="minorHAnsi"/>
          <w:u w:val="single"/>
        </w:rPr>
        <w:t xml:space="preserve">, jog kvalifikuojant ginčo teisinius santykius svarbu nustatyti, kuri iš šių normų kvalifikuojamaisiais teisiniais požymiais glaudžiausiai koreliuoja su </w:t>
      </w:r>
      <w:r>
        <w:rPr>
          <w:rFonts w:cstheme="minorHAnsi"/>
          <w:u w:val="single"/>
        </w:rPr>
        <w:t>MD</w:t>
      </w:r>
      <w:r w:rsidRPr="00764141">
        <w:rPr>
          <w:rFonts w:cstheme="minorHAnsi"/>
          <w:u w:val="single"/>
        </w:rPr>
        <w:t xml:space="preserve"> nustatytomis iš įstatymo kylančių prievolių pažeidimo aplinkybėmis. Taikant šį teisės normų konkurencijos įveikimo metodą, yra teisinis pagrindas konstatuoti, kad MD, patikrinimo metu surinkus duomenis, </w:t>
      </w:r>
      <w:r w:rsidR="00767BE4">
        <w:rPr>
          <w:rFonts w:cstheme="minorHAnsi"/>
          <w:u w:val="single"/>
        </w:rPr>
        <w:t>jog</w:t>
      </w:r>
      <w:r w:rsidRPr="00764141">
        <w:rPr>
          <w:rFonts w:cstheme="minorHAnsi"/>
          <w:u w:val="single"/>
        </w:rPr>
        <w:t xml:space="preserve"> pareiškėjas, kuriam mokamas mažesnis nei prašyme ir tarpininkavimo rašte nurodytas mokėtinas mėnesio darbo užmokestis, neatitinka sąlygų, kurios nustatytos leidimui gyventi gauti konkrečiu U</w:t>
      </w:r>
      <w:r>
        <w:rPr>
          <w:rFonts w:cstheme="minorHAnsi"/>
          <w:u w:val="single"/>
        </w:rPr>
        <w:t>TPĮ</w:t>
      </w:r>
      <w:r w:rsidRPr="00764141">
        <w:rPr>
          <w:rFonts w:cstheme="minorHAnsi"/>
          <w:u w:val="single"/>
        </w:rPr>
        <w:t xml:space="preserve"> nustatytu pagrindu, ginčo santykiams taikytinas UTP</w:t>
      </w:r>
      <w:r>
        <w:rPr>
          <w:rFonts w:cstheme="minorHAnsi"/>
          <w:u w:val="single"/>
        </w:rPr>
        <w:t>Į</w:t>
      </w:r>
      <w:r w:rsidRPr="00764141">
        <w:rPr>
          <w:rFonts w:cstheme="minorHAnsi"/>
          <w:u w:val="single"/>
        </w:rPr>
        <w:t xml:space="preserve"> 35</w:t>
      </w:r>
      <w:r w:rsidR="00767BE4">
        <w:rPr>
          <w:rFonts w:cstheme="minorHAnsi"/>
          <w:u w:val="single"/>
        </w:rPr>
        <w:t> </w:t>
      </w:r>
      <w:r w:rsidRPr="00764141">
        <w:rPr>
          <w:rFonts w:cstheme="minorHAnsi"/>
          <w:u w:val="single"/>
        </w:rPr>
        <w:t>straipsnio 1</w:t>
      </w:r>
      <w:r w:rsidR="00767BE4">
        <w:rPr>
          <w:rFonts w:cstheme="minorHAnsi"/>
          <w:u w:val="single"/>
        </w:rPr>
        <w:t xml:space="preserve"> </w:t>
      </w:r>
      <w:r w:rsidRPr="00764141">
        <w:rPr>
          <w:rFonts w:cstheme="minorHAnsi"/>
          <w:u w:val="single"/>
        </w:rPr>
        <w:t>dalies 14 punkte, o ne 2 punkte įtvirtintas teisinis reguliavimas</w:t>
      </w:r>
      <w:r w:rsidRPr="00764141">
        <w:rPr>
          <w:rFonts w:cstheme="minorHAnsi"/>
        </w:rPr>
        <w:t>.</w:t>
      </w:r>
    </w:p>
    <w:p w14:paraId="4F2BB991" w14:textId="64A3D126" w:rsidR="00010AE4" w:rsidRDefault="00010AE4" w:rsidP="00010AE4">
      <w:pPr>
        <w:pStyle w:val="NoSpacing"/>
        <w:ind w:firstLine="567"/>
        <w:jc w:val="both"/>
        <w:rPr>
          <w:rFonts w:cstheme="minorHAnsi"/>
        </w:rPr>
      </w:pPr>
      <w:r w:rsidRPr="00766D2E">
        <w:rPr>
          <w:rFonts w:cstheme="minorHAnsi"/>
        </w:rPr>
        <w:t xml:space="preserve">Įvertinusi </w:t>
      </w:r>
      <w:r>
        <w:rPr>
          <w:rFonts w:cstheme="minorHAnsi"/>
        </w:rPr>
        <w:t>byloje nustatytas aplinkybes, LVAT</w:t>
      </w:r>
      <w:r w:rsidRPr="00766D2E">
        <w:rPr>
          <w:rFonts w:cstheme="minorHAnsi"/>
        </w:rPr>
        <w:t xml:space="preserve"> teisėjų kolegija </w:t>
      </w:r>
      <w:r>
        <w:rPr>
          <w:rFonts w:cstheme="minorHAnsi"/>
        </w:rPr>
        <w:t>darė</w:t>
      </w:r>
      <w:r w:rsidRPr="00766D2E">
        <w:rPr>
          <w:rFonts w:cstheme="minorHAnsi"/>
        </w:rPr>
        <w:t xml:space="preserve"> išvad</w:t>
      </w:r>
      <w:r>
        <w:rPr>
          <w:rFonts w:cstheme="minorHAnsi"/>
        </w:rPr>
        <w:t>ą</w:t>
      </w:r>
      <w:r w:rsidRPr="00766D2E">
        <w:rPr>
          <w:rFonts w:cstheme="minorHAnsi"/>
        </w:rPr>
        <w:t xml:space="preserve">, kad </w:t>
      </w:r>
      <w:r>
        <w:rPr>
          <w:rFonts w:cstheme="minorHAnsi"/>
        </w:rPr>
        <w:t>MD</w:t>
      </w:r>
      <w:r w:rsidRPr="00766D2E">
        <w:rPr>
          <w:rFonts w:cstheme="minorHAnsi"/>
        </w:rPr>
        <w:t xml:space="preserve"> tinkamai nustatė faktines aplinkybes, sudarančias pagrindą panaikinti pareiškėjui išduotą leidimą laikinai gyventi Lietuvos </w:t>
      </w:r>
      <w:r w:rsidRPr="00766D2E">
        <w:rPr>
          <w:rFonts w:cstheme="minorHAnsi"/>
        </w:rPr>
        <w:lastRenderedPageBreak/>
        <w:t>Respublikoje</w:t>
      </w:r>
      <w:r w:rsidR="000521D4">
        <w:rPr>
          <w:rFonts w:cstheme="minorHAnsi"/>
        </w:rPr>
        <w:t>,</w:t>
      </w:r>
      <w:r w:rsidRPr="00766D2E">
        <w:rPr>
          <w:rFonts w:cstheme="minorHAnsi"/>
        </w:rPr>
        <w:t xml:space="preserve"> vadovaudamasis UTP</w:t>
      </w:r>
      <w:r>
        <w:rPr>
          <w:rFonts w:cstheme="minorHAnsi"/>
        </w:rPr>
        <w:t>Į</w:t>
      </w:r>
      <w:r w:rsidRPr="00766D2E">
        <w:rPr>
          <w:rFonts w:cstheme="minorHAnsi"/>
        </w:rPr>
        <w:t xml:space="preserve"> 35 straipsnio 1 dalies 5 punktu</w:t>
      </w:r>
      <w:r>
        <w:rPr>
          <w:rStyle w:val="FootnoteReference"/>
          <w:rFonts w:cstheme="minorHAnsi"/>
        </w:rPr>
        <w:footnoteReference w:id="3"/>
      </w:r>
      <w:r>
        <w:rPr>
          <w:rFonts w:cstheme="minorHAnsi"/>
        </w:rPr>
        <w:t>, t</w:t>
      </w:r>
      <w:r w:rsidRPr="00766D2E">
        <w:rPr>
          <w:rFonts w:cstheme="minorHAnsi"/>
        </w:rPr>
        <w:t xml:space="preserve">ačiau </w:t>
      </w:r>
      <w:r>
        <w:rPr>
          <w:rFonts w:cstheme="minorHAnsi"/>
        </w:rPr>
        <w:t>MD</w:t>
      </w:r>
      <w:r w:rsidRPr="00766D2E">
        <w:rPr>
          <w:rFonts w:cstheme="minorHAnsi"/>
        </w:rPr>
        <w:t xml:space="preserve"> padarė faktinių aplinkybių teisinio kvalifikavimo klaidą, nurodydamas UTP</w:t>
      </w:r>
      <w:r>
        <w:rPr>
          <w:rFonts w:cstheme="minorHAnsi"/>
        </w:rPr>
        <w:t>Į</w:t>
      </w:r>
      <w:r w:rsidRPr="00766D2E">
        <w:rPr>
          <w:rFonts w:cstheme="minorHAnsi"/>
        </w:rPr>
        <w:t xml:space="preserve"> 35 straipsnio 1 dalies 2 punktą. Vietoje UTP</w:t>
      </w:r>
      <w:r>
        <w:rPr>
          <w:rFonts w:cstheme="minorHAnsi"/>
        </w:rPr>
        <w:t>Į</w:t>
      </w:r>
      <w:r w:rsidRPr="00766D2E">
        <w:rPr>
          <w:rFonts w:cstheme="minorHAnsi"/>
        </w:rPr>
        <w:t xml:space="preserve"> 35 straipsnio 1</w:t>
      </w:r>
      <w:r>
        <w:rPr>
          <w:rFonts w:cstheme="minorHAnsi"/>
        </w:rPr>
        <w:t> </w:t>
      </w:r>
      <w:r w:rsidRPr="00766D2E">
        <w:rPr>
          <w:rFonts w:cstheme="minorHAnsi"/>
        </w:rPr>
        <w:t>dalies 2 punkto ginč</w:t>
      </w:r>
      <w:r w:rsidR="000521D4">
        <w:rPr>
          <w:rFonts w:cstheme="minorHAnsi"/>
        </w:rPr>
        <w:t>yt</w:t>
      </w:r>
      <w:r w:rsidRPr="00766D2E">
        <w:rPr>
          <w:rFonts w:cstheme="minorHAnsi"/>
        </w:rPr>
        <w:t xml:space="preserve">ame </w:t>
      </w:r>
      <w:r>
        <w:rPr>
          <w:rFonts w:cstheme="minorHAnsi"/>
        </w:rPr>
        <w:t>s</w:t>
      </w:r>
      <w:r w:rsidRPr="00766D2E">
        <w:rPr>
          <w:rFonts w:cstheme="minorHAnsi"/>
        </w:rPr>
        <w:t>prendime atsakovas privalėjo nurodyti UTP</w:t>
      </w:r>
      <w:r>
        <w:rPr>
          <w:rFonts w:cstheme="minorHAnsi"/>
        </w:rPr>
        <w:t>Į</w:t>
      </w:r>
      <w:r w:rsidRPr="00766D2E">
        <w:rPr>
          <w:rFonts w:cstheme="minorHAnsi"/>
        </w:rPr>
        <w:t xml:space="preserve"> 35 straipsnio 1 dalies 14 punktą ir taikyti jame įtvirtintą teisinį reguliavimą. </w:t>
      </w:r>
      <w:r w:rsidRPr="00B04590">
        <w:rPr>
          <w:rFonts w:cstheme="minorHAnsi"/>
        </w:rPr>
        <w:t xml:space="preserve">Tačiau </w:t>
      </w:r>
      <w:r>
        <w:rPr>
          <w:rFonts w:cstheme="minorHAnsi"/>
          <w:u w:val="single"/>
        </w:rPr>
        <w:t>d</w:t>
      </w:r>
      <w:r w:rsidRPr="009D47E6">
        <w:rPr>
          <w:rFonts w:cstheme="minorHAnsi"/>
          <w:u w:val="single"/>
        </w:rPr>
        <w:t>ėl MD padarytos teisės klaidos, susijusios su pareiga motyvuoti, skundžiamas administracinis sprendimas negali būti panaikintas, nes jis pagrįstas kitais teisiniais motyvais (UTPĮ 35 straipsnio 1 dalies 14 punktu). Be to, aplinkybė, kad administracinis sprendimas grindžiamas teisiniu pagrindu, kurį teisėjų kolegija pripažino netinkamu susiklosčiusioms teisinėms aplinkybėms, galėtų sudaryti pagrindą panaikinti administracinį sprendimą tik tuo atveju, jeigu atsakovas turėtų diskreciją ginčo klausimais ir galėtų priimti kitokį sprendimą.</w:t>
      </w:r>
      <w:r w:rsidRPr="009D47E6">
        <w:rPr>
          <w:u w:val="single"/>
        </w:rPr>
        <w:t xml:space="preserve"> </w:t>
      </w:r>
      <w:r w:rsidR="0034035B">
        <w:rPr>
          <w:rFonts w:cstheme="minorHAnsi"/>
          <w:u w:val="single"/>
        </w:rPr>
        <w:t>Šiuo</w:t>
      </w:r>
      <w:r w:rsidRPr="009D47E6">
        <w:rPr>
          <w:rFonts w:cstheme="minorHAnsi"/>
          <w:u w:val="single"/>
        </w:rPr>
        <w:t xml:space="preserve"> atveju atsakovas tokios diskrecijos neturi ir gali priimti tik tokį sprendimą, kuris iš esmės sukelia tas pačias teisines pasekmes kaip ir </w:t>
      </w:r>
      <w:r w:rsidR="00536462">
        <w:rPr>
          <w:rFonts w:cstheme="minorHAnsi"/>
          <w:u w:val="single"/>
        </w:rPr>
        <w:t>ginčyt</w:t>
      </w:r>
      <w:r w:rsidRPr="009D47E6">
        <w:rPr>
          <w:rFonts w:cstheme="minorHAnsi"/>
          <w:u w:val="single"/>
        </w:rPr>
        <w:t>as administracinis sprendimas</w:t>
      </w:r>
      <w:r w:rsidRPr="008E57F4">
        <w:rPr>
          <w:rFonts w:cstheme="minorHAnsi"/>
        </w:rPr>
        <w:t>.</w:t>
      </w:r>
    </w:p>
    <w:p w14:paraId="5B7ABCA0" w14:textId="2BCF9D47" w:rsidR="00010AE4" w:rsidRDefault="00010AE4" w:rsidP="00010AE4">
      <w:pPr>
        <w:pStyle w:val="NoSpacing"/>
        <w:ind w:firstLine="567"/>
        <w:jc w:val="both"/>
        <w:rPr>
          <w:rFonts w:cstheme="minorHAnsi"/>
        </w:rPr>
      </w:pPr>
      <w:r>
        <w:rPr>
          <w:rFonts w:cstheme="minorHAnsi"/>
        </w:rPr>
        <w:t>LVAT taip pat atkreipė dėmesį, kad p</w:t>
      </w:r>
      <w:r w:rsidRPr="00D13D0A">
        <w:rPr>
          <w:rFonts w:cstheme="minorHAnsi"/>
        </w:rPr>
        <w:t xml:space="preserve">agal veiksmingos teisminės gynybos principą reikalaujama, </w:t>
      </w:r>
      <w:r>
        <w:rPr>
          <w:rFonts w:cstheme="minorHAnsi"/>
        </w:rPr>
        <w:t xml:space="preserve">jog </w:t>
      </w:r>
      <w:r w:rsidRPr="00D13D0A">
        <w:rPr>
          <w:rFonts w:cstheme="minorHAnsi"/>
        </w:rPr>
        <w:t xml:space="preserve">teismas, vertindamas administracinio sprendimo teisėtumą, įsitikintų, jog šis sprendimas yra pagrįstas pakankamai svariomis faktinėmis aplinkybėmis ir šiame sprendime išdėstyti teisiniai argumentai. Kai administracinis sprendimas yra grindžiamas keliais savarankiškais teisiniais pagrindais, pakanka bent vieno, kad jis būtų pripažintas teisėtu. </w:t>
      </w:r>
      <w:r>
        <w:rPr>
          <w:rFonts w:cstheme="minorHAnsi"/>
        </w:rPr>
        <w:t xml:space="preserve">Byloje </w:t>
      </w:r>
      <w:r w:rsidR="00F23361">
        <w:rPr>
          <w:rFonts w:cstheme="minorHAnsi"/>
        </w:rPr>
        <w:t>ginčyt</w:t>
      </w:r>
      <w:r>
        <w:rPr>
          <w:rFonts w:cstheme="minorHAnsi"/>
        </w:rPr>
        <w:t>as</w:t>
      </w:r>
      <w:r w:rsidRPr="00D13D0A">
        <w:rPr>
          <w:rFonts w:cstheme="minorHAnsi"/>
        </w:rPr>
        <w:t xml:space="preserve"> sprendimas panaikinti pareiškėjui išduotą leidimą gyventi Lietuvoje pagrįstas keliais savarankiškais motyvavimo ramsčiais, nepaisant to, kad jų faktinis pagrindas sutampa. Nustatęs, kad pareiškėjas negauna nustatyto dydžio darbo užmokesčio, </w:t>
      </w:r>
      <w:r>
        <w:rPr>
          <w:rFonts w:cstheme="minorHAnsi"/>
        </w:rPr>
        <w:t>MD, be kita ko,</w:t>
      </w:r>
      <w:r w:rsidRPr="00D13D0A">
        <w:rPr>
          <w:rFonts w:cstheme="minorHAnsi"/>
        </w:rPr>
        <w:t xml:space="preserve"> r</w:t>
      </w:r>
      <w:r>
        <w:rPr>
          <w:rFonts w:cstheme="minorHAnsi"/>
        </w:rPr>
        <w:t>ė</w:t>
      </w:r>
      <w:r w:rsidRPr="00D13D0A">
        <w:rPr>
          <w:rFonts w:cstheme="minorHAnsi"/>
        </w:rPr>
        <w:t>m</w:t>
      </w:r>
      <w:r>
        <w:rPr>
          <w:rFonts w:cstheme="minorHAnsi"/>
        </w:rPr>
        <w:t>ė</w:t>
      </w:r>
      <w:r w:rsidRPr="00D13D0A">
        <w:rPr>
          <w:rFonts w:cstheme="minorHAnsi"/>
        </w:rPr>
        <w:t>si UTP</w:t>
      </w:r>
      <w:r>
        <w:rPr>
          <w:rFonts w:cstheme="minorHAnsi"/>
        </w:rPr>
        <w:t>Į</w:t>
      </w:r>
      <w:r w:rsidRPr="00D13D0A">
        <w:rPr>
          <w:rFonts w:cstheme="minorHAnsi"/>
        </w:rPr>
        <w:t xml:space="preserve"> 35 straipsnio 1 dalies 5 punkto nuostatomis dėl pakankamų pragyvenimo lėšų stokos. Teisėjų kolegijos vertinimu, kiekvienas iš UTPĮ 35 straipsnio 1 dalies 5 </w:t>
      </w:r>
      <w:r>
        <w:rPr>
          <w:rFonts w:cstheme="minorHAnsi"/>
        </w:rPr>
        <w:t xml:space="preserve">ir 14 </w:t>
      </w:r>
      <w:r w:rsidRPr="00D13D0A">
        <w:rPr>
          <w:rFonts w:cstheme="minorHAnsi"/>
        </w:rPr>
        <w:t>punkt</w:t>
      </w:r>
      <w:r>
        <w:rPr>
          <w:rFonts w:cstheme="minorHAnsi"/>
        </w:rPr>
        <w:t>uose nurodytų</w:t>
      </w:r>
      <w:r w:rsidRPr="00D13D0A">
        <w:rPr>
          <w:rFonts w:cstheme="minorHAnsi"/>
        </w:rPr>
        <w:t xml:space="preserve"> pagrindų atskirai yra pakankamas administracinio sprendimo teisėtumui pagrįsti, nes minėtieji pagrindai yra savarankiški, o ne kumuliatyvūs. Todėl </w:t>
      </w:r>
      <w:r w:rsidRPr="00C51F15">
        <w:rPr>
          <w:rFonts w:cstheme="minorHAnsi"/>
          <w:u w:val="single"/>
        </w:rPr>
        <w:t>MD padaryta teisės klaida, turinti įtakos tik vienam iš ginč</w:t>
      </w:r>
      <w:r w:rsidR="00F23361">
        <w:rPr>
          <w:rFonts w:cstheme="minorHAnsi"/>
          <w:u w:val="single"/>
        </w:rPr>
        <w:t>yt</w:t>
      </w:r>
      <w:r w:rsidRPr="00C51F15">
        <w:rPr>
          <w:rFonts w:cstheme="minorHAnsi"/>
          <w:u w:val="single"/>
        </w:rPr>
        <w:t>o administracinio sprendimo motyvavimo ramsčių, negali būti pakankama sprendimui panaikinti, nes ši klaida negalėjo turėti lemiamos įtakos ginč</w:t>
      </w:r>
      <w:r w:rsidR="00F23361">
        <w:rPr>
          <w:rFonts w:cstheme="minorHAnsi"/>
          <w:u w:val="single"/>
        </w:rPr>
        <w:t>yt</w:t>
      </w:r>
      <w:r w:rsidRPr="00C51F15">
        <w:rPr>
          <w:rFonts w:cstheme="minorHAnsi"/>
          <w:u w:val="single"/>
        </w:rPr>
        <w:t>o administracinio sprendimo teisėtumui</w:t>
      </w:r>
      <w:r w:rsidRPr="00D13D0A">
        <w:rPr>
          <w:rFonts w:cstheme="minorHAnsi"/>
        </w:rPr>
        <w:t>.</w:t>
      </w:r>
    </w:p>
    <w:p w14:paraId="0EA334DF" w14:textId="7D772255" w:rsidR="00010AE4" w:rsidRDefault="00010AE4" w:rsidP="00010AE4">
      <w:pPr>
        <w:pStyle w:val="NoSpacing"/>
        <w:ind w:firstLine="567"/>
        <w:jc w:val="both"/>
        <w:rPr>
          <w:rFonts w:cstheme="minorHAnsi"/>
        </w:rPr>
      </w:pPr>
      <w:r>
        <w:rPr>
          <w:rFonts w:cstheme="minorHAnsi"/>
        </w:rPr>
        <w:t xml:space="preserve">Pasisakydamas dėl pareiškėjo teisės būti išklausytam, LVAT pabrėžė, kad sprendimai panaikinti leidimą laikinai gyventi Lietuvoje </w:t>
      </w:r>
      <w:r w:rsidRPr="00E203C2">
        <w:rPr>
          <w:rFonts w:cstheme="minorHAnsi"/>
        </w:rPr>
        <w:t xml:space="preserve">yra priimami asmeniui, neprašiusiam šio sprendimo priimti, todėl šio asmens galimybė pareikšti nuomonę dėl numatomo sprendimo yra iš esmės suvaržyta. Vis dėlto, kiekvienas suinteresuotasis asmuo turi teisę apskųsti </w:t>
      </w:r>
      <w:r>
        <w:rPr>
          <w:rFonts w:cstheme="minorHAnsi"/>
        </w:rPr>
        <w:t>MD</w:t>
      </w:r>
      <w:r w:rsidRPr="00E203C2">
        <w:rPr>
          <w:rFonts w:cstheme="minorHAnsi"/>
        </w:rPr>
        <w:t xml:space="preserve"> priimtus sprendimus, susijusius su išduoto leidimo gyventi Lietuvoje panaikinimu</w:t>
      </w:r>
      <w:r>
        <w:rPr>
          <w:rFonts w:cstheme="minorHAnsi"/>
        </w:rPr>
        <w:t xml:space="preserve">. Be to, </w:t>
      </w:r>
      <w:r w:rsidR="00405B20">
        <w:rPr>
          <w:rFonts w:cstheme="minorHAnsi"/>
        </w:rPr>
        <w:t>šiuo</w:t>
      </w:r>
      <w:r>
        <w:rPr>
          <w:rFonts w:cstheme="minorHAnsi"/>
        </w:rPr>
        <w:t xml:space="preserve"> atveju</w:t>
      </w:r>
      <w:r w:rsidRPr="00E203C2">
        <w:rPr>
          <w:rFonts w:cstheme="minorHAnsi"/>
        </w:rPr>
        <w:t xml:space="preserve"> apskųsto sprendimo vykdymas buvo iškart sustabd</w:t>
      </w:r>
      <w:r>
        <w:rPr>
          <w:rFonts w:cstheme="minorHAnsi"/>
        </w:rPr>
        <w:t>yt</w:t>
      </w:r>
      <w:r w:rsidRPr="00E203C2">
        <w:rPr>
          <w:rFonts w:cstheme="minorHAnsi"/>
        </w:rPr>
        <w:t>as pagal UTP</w:t>
      </w:r>
      <w:r>
        <w:rPr>
          <w:rFonts w:cstheme="minorHAnsi"/>
        </w:rPr>
        <w:t>Į</w:t>
      </w:r>
      <w:r w:rsidRPr="00E203C2">
        <w:rPr>
          <w:rFonts w:cstheme="minorHAnsi"/>
        </w:rPr>
        <w:t xml:space="preserve"> 139 straipsnio 1 dalies 1</w:t>
      </w:r>
      <w:r w:rsidR="00405B20">
        <w:rPr>
          <w:rFonts w:cstheme="minorHAnsi"/>
        </w:rPr>
        <w:t> </w:t>
      </w:r>
      <w:r w:rsidRPr="00E203C2">
        <w:rPr>
          <w:rFonts w:cstheme="minorHAnsi"/>
        </w:rPr>
        <w:t>punkto (iki 2024 m. liepos 1 d. galiojusi redakcija)</w:t>
      </w:r>
      <w:r w:rsidR="00405B20">
        <w:rPr>
          <w:rFonts w:cstheme="minorHAnsi"/>
        </w:rPr>
        <w:t xml:space="preserve"> </w:t>
      </w:r>
      <w:r w:rsidR="00405B20" w:rsidRPr="00E203C2">
        <w:rPr>
          <w:rFonts w:cstheme="minorHAnsi"/>
        </w:rPr>
        <w:t>nuostatas</w:t>
      </w:r>
      <w:r w:rsidRPr="00E203C2">
        <w:rPr>
          <w:rFonts w:cstheme="minorHAnsi"/>
        </w:rPr>
        <w:t xml:space="preserve">. Tai reiškia, kad tokiomis aplinkybėmis, kokios susiklostė </w:t>
      </w:r>
      <w:r w:rsidR="0064134B">
        <w:rPr>
          <w:rFonts w:cstheme="minorHAnsi"/>
        </w:rPr>
        <w:t>ši</w:t>
      </w:r>
      <w:r w:rsidRPr="00E203C2">
        <w:rPr>
          <w:rFonts w:cstheme="minorHAnsi"/>
        </w:rPr>
        <w:t xml:space="preserve">oje byloje, pateikus motyvuotą skundą dėl leidimo gyventi panaikinimo, šis sprendimas </w:t>
      </w:r>
      <w:r>
        <w:rPr>
          <w:rFonts w:cstheme="minorHAnsi"/>
        </w:rPr>
        <w:t xml:space="preserve">buvo </w:t>
      </w:r>
      <w:r w:rsidRPr="00E203C2">
        <w:rPr>
          <w:rFonts w:cstheme="minorHAnsi"/>
        </w:rPr>
        <w:t>nedelsiant nebetaikomas ir prad</w:t>
      </w:r>
      <w:r>
        <w:rPr>
          <w:rFonts w:cstheme="minorHAnsi"/>
        </w:rPr>
        <w:t>ėta</w:t>
      </w:r>
      <w:r w:rsidRPr="00E203C2">
        <w:rPr>
          <w:rFonts w:cstheme="minorHAnsi"/>
        </w:rPr>
        <w:t>s įprastas procesas, per kurį gali būti užtikrinta asmens teisė būti išklausytam, todėl pareiškėjo teisės būti išklausytam esmė n</w:t>
      </w:r>
      <w:r>
        <w:rPr>
          <w:rFonts w:cstheme="minorHAnsi"/>
        </w:rPr>
        <w:t xml:space="preserve">ebuvo </w:t>
      </w:r>
      <w:r w:rsidRPr="00E203C2">
        <w:rPr>
          <w:rFonts w:cstheme="minorHAnsi"/>
        </w:rPr>
        <w:t>paveik</w:t>
      </w:r>
      <w:r>
        <w:rPr>
          <w:rFonts w:cstheme="minorHAnsi"/>
        </w:rPr>
        <w:t>t</w:t>
      </w:r>
      <w:r w:rsidRPr="00E203C2">
        <w:rPr>
          <w:rFonts w:cstheme="minorHAnsi"/>
        </w:rPr>
        <w:t>a.</w:t>
      </w:r>
      <w:r>
        <w:rPr>
          <w:rFonts w:cstheme="minorHAnsi"/>
        </w:rPr>
        <w:t xml:space="preserve"> Tai atitinka </w:t>
      </w:r>
      <w:r w:rsidRPr="00E203C2">
        <w:rPr>
          <w:rFonts w:cstheme="minorHAnsi"/>
        </w:rPr>
        <w:t>supranacionalinių teismų praktik</w:t>
      </w:r>
      <w:r>
        <w:rPr>
          <w:rFonts w:cstheme="minorHAnsi"/>
        </w:rPr>
        <w:t>ą</w:t>
      </w:r>
      <w:r w:rsidRPr="00E203C2">
        <w:rPr>
          <w:rFonts w:cstheme="minorHAnsi"/>
        </w:rPr>
        <w:t xml:space="preserve">, </w:t>
      </w:r>
      <w:r>
        <w:rPr>
          <w:rFonts w:cstheme="minorHAnsi"/>
        </w:rPr>
        <w:t xml:space="preserve">pagal kurią </w:t>
      </w:r>
      <w:r w:rsidRPr="00E203C2">
        <w:rPr>
          <w:rFonts w:cstheme="minorHAnsi"/>
        </w:rPr>
        <w:t xml:space="preserve">asmens išklausymas </w:t>
      </w:r>
      <w:r w:rsidRPr="00E203C2">
        <w:rPr>
          <w:rFonts w:cstheme="minorHAnsi"/>
          <w:i/>
          <w:iCs/>
        </w:rPr>
        <w:t>a posteriori</w:t>
      </w:r>
      <w:r>
        <w:rPr>
          <w:rFonts w:cstheme="minorHAnsi"/>
        </w:rPr>
        <w:t xml:space="preserve"> </w:t>
      </w:r>
      <w:r w:rsidR="00A77F34">
        <w:rPr>
          <w:rFonts w:cstheme="minorHAnsi"/>
        </w:rPr>
        <w:t>(</w:t>
      </w:r>
      <w:r w:rsidR="00A77F34" w:rsidRPr="00A77F34">
        <w:rPr>
          <w:rFonts w:cstheme="minorHAnsi"/>
        </w:rPr>
        <w:t>v</w:t>
      </w:r>
      <w:r w:rsidRPr="00A77F34">
        <w:rPr>
          <w:rFonts w:cstheme="minorHAnsi"/>
        </w:rPr>
        <w:t>ėliau</w:t>
      </w:r>
      <w:r w:rsidR="00A77F34">
        <w:rPr>
          <w:rFonts w:cstheme="minorHAnsi"/>
        </w:rPr>
        <w:t>)</w:t>
      </w:r>
      <w:r w:rsidRPr="00E203C2">
        <w:rPr>
          <w:rFonts w:cstheme="minorHAnsi"/>
        </w:rPr>
        <w:t>, nagrinėjant dėl nepalankaus sprendimo pateiktą skundą, tam tikromis aplinkybėmis gali užtikrinti teisės būti išklausytam paisymą</w:t>
      </w:r>
      <w:r>
        <w:rPr>
          <w:rFonts w:cstheme="minorHAnsi"/>
        </w:rPr>
        <w:t>. Byloje n</w:t>
      </w:r>
      <w:r w:rsidRPr="00D62F8F">
        <w:rPr>
          <w:rFonts w:cstheme="minorHAnsi"/>
        </w:rPr>
        <w:t xml:space="preserve">esant jokių pareiškėjo situaciją individualizuojančių aplinkybių, pareiga jį išklausyti prieš priimant </w:t>
      </w:r>
      <w:r w:rsidR="0064134B">
        <w:rPr>
          <w:rFonts w:cstheme="minorHAnsi"/>
        </w:rPr>
        <w:t>ginčyt</w:t>
      </w:r>
      <w:r>
        <w:rPr>
          <w:rFonts w:cstheme="minorHAnsi"/>
        </w:rPr>
        <w:t>ą</w:t>
      </w:r>
      <w:r w:rsidRPr="00D62F8F">
        <w:rPr>
          <w:rFonts w:cstheme="minorHAnsi"/>
        </w:rPr>
        <w:t xml:space="preserve"> sprendimą beprasmiškai pailgintų administracinę procedūrą ir nepadidintų pareiškėjo teisinės apsaugos. </w:t>
      </w:r>
      <w:r w:rsidRPr="00D62F8F">
        <w:rPr>
          <w:rFonts w:cstheme="minorHAnsi"/>
          <w:u w:val="single"/>
        </w:rPr>
        <w:t>Teisė būti išklausytam prieš priimant sprendimą panaikinti leidimą gyventi turi būti įgyvendinama, paisant pusiausvyros tarp suinteresuotojo asmens teisės būti išklausytam prieš priimant jam nepalankų sprendimą ir kompetentingų valstybės institucijų pareigos kovoti su neteisėta imigracija, ir negali būti naudojama kaip priemonė, pagal kurią administracinė procedūra būtų nepagrįstai apsunkinama</w:t>
      </w:r>
      <w:r w:rsidRPr="00D62F8F">
        <w:rPr>
          <w:rFonts w:cstheme="minorHAnsi"/>
        </w:rPr>
        <w:t>.</w:t>
      </w:r>
    </w:p>
    <w:p w14:paraId="26301453" w14:textId="0432709E" w:rsidR="00010AE4" w:rsidRDefault="00010AE4" w:rsidP="00010AE4">
      <w:pPr>
        <w:pStyle w:val="NoSpacing"/>
        <w:ind w:firstLine="567"/>
        <w:jc w:val="both"/>
        <w:rPr>
          <w:rFonts w:cstheme="minorHAnsi"/>
        </w:rPr>
      </w:pPr>
      <w:r>
        <w:rPr>
          <w:rFonts w:cstheme="minorHAnsi"/>
        </w:rPr>
        <w:t>LVAT atmetė pareiškėjo apeliacinį skundą</w:t>
      </w:r>
      <w:r w:rsidR="00664999">
        <w:rPr>
          <w:rFonts w:cstheme="minorHAnsi"/>
        </w:rPr>
        <w:t>, o</w:t>
      </w:r>
      <w:r>
        <w:rPr>
          <w:rFonts w:cstheme="minorHAnsi"/>
        </w:rPr>
        <w:t xml:space="preserve"> pirmosios instancijos teismo sprendimą iš esmės paliko nepakeistą, tačiau pakeitė </w:t>
      </w:r>
      <w:r w:rsidR="00664999">
        <w:rPr>
          <w:rFonts w:cstheme="minorHAnsi"/>
        </w:rPr>
        <w:t>ginčyt</w:t>
      </w:r>
      <w:r>
        <w:rPr>
          <w:rFonts w:cstheme="minorHAnsi"/>
        </w:rPr>
        <w:t xml:space="preserve">ame MD sprendime </w:t>
      </w:r>
      <w:r w:rsidRPr="0022517E">
        <w:rPr>
          <w:rFonts w:cstheme="minorHAnsi"/>
        </w:rPr>
        <w:t xml:space="preserve">nurodytą </w:t>
      </w:r>
      <w:r>
        <w:rPr>
          <w:rFonts w:cstheme="minorHAnsi"/>
        </w:rPr>
        <w:t xml:space="preserve">pareiškėjui išduoto </w:t>
      </w:r>
      <w:r w:rsidRPr="0022517E">
        <w:rPr>
          <w:rFonts w:cstheme="minorHAnsi"/>
        </w:rPr>
        <w:t>leidimo laikinai gyventi Lietuvos Respublikoje panaikinimo pagrindą iš UTP</w:t>
      </w:r>
      <w:r>
        <w:rPr>
          <w:rFonts w:cstheme="minorHAnsi"/>
        </w:rPr>
        <w:t>Į</w:t>
      </w:r>
      <w:r w:rsidRPr="0022517E">
        <w:rPr>
          <w:rFonts w:cstheme="minorHAnsi"/>
        </w:rPr>
        <w:t xml:space="preserve"> 35 straipsnio 1 dalies 2 punkto į 35 straipsnio 1</w:t>
      </w:r>
      <w:r w:rsidR="00664999">
        <w:rPr>
          <w:rFonts w:cstheme="minorHAnsi"/>
        </w:rPr>
        <w:t xml:space="preserve"> </w:t>
      </w:r>
      <w:r w:rsidRPr="0022517E">
        <w:rPr>
          <w:rFonts w:cstheme="minorHAnsi"/>
        </w:rPr>
        <w:t>dalies 14</w:t>
      </w:r>
      <w:r w:rsidR="00664999">
        <w:rPr>
          <w:rFonts w:cstheme="minorHAnsi"/>
        </w:rPr>
        <w:t> </w:t>
      </w:r>
      <w:r w:rsidRPr="0022517E">
        <w:rPr>
          <w:rFonts w:cstheme="minorHAnsi"/>
        </w:rPr>
        <w:t>punktą.</w:t>
      </w:r>
    </w:p>
    <w:p w14:paraId="1D88684E" w14:textId="77777777" w:rsidR="00010AE4" w:rsidRDefault="00010AE4" w:rsidP="00010AE4">
      <w:pPr>
        <w:pStyle w:val="NoSpacing"/>
        <w:jc w:val="both"/>
        <w:rPr>
          <w:rFonts w:cstheme="minorHAnsi"/>
        </w:rPr>
      </w:pPr>
    </w:p>
    <w:p w14:paraId="15163C00" w14:textId="77777777" w:rsidR="00010AE4" w:rsidRPr="00E81924" w:rsidRDefault="00010AE4" w:rsidP="00010AE4">
      <w:pPr>
        <w:pStyle w:val="NoSpacing"/>
        <w:jc w:val="both"/>
        <w:rPr>
          <w:rFonts w:cstheme="minorHAnsi"/>
        </w:rPr>
      </w:pPr>
      <w:r w:rsidRPr="00A16236">
        <w:rPr>
          <w:rFonts w:cstheme="minorHAnsi"/>
        </w:rPr>
        <w:t xml:space="preserve">2024 m. </w:t>
      </w:r>
      <w:r>
        <w:rPr>
          <w:rFonts w:cstheme="minorHAnsi"/>
        </w:rPr>
        <w:t>lapkričio 6</w:t>
      </w:r>
      <w:r w:rsidRPr="00A16236">
        <w:rPr>
          <w:rFonts w:cstheme="minorHAnsi"/>
        </w:rPr>
        <w:t xml:space="preserve"> d.</w:t>
      </w:r>
      <w:r>
        <w:rPr>
          <w:rFonts w:cstheme="minorHAnsi"/>
        </w:rPr>
        <w:t xml:space="preserve"> nutartis </w:t>
      </w:r>
      <w:r w:rsidRPr="00E81924">
        <w:rPr>
          <w:rFonts w:cstheme="minorHAnsi"/>
        </w:rPr>
        <w:t xml:space="preserve">administracinėje byloje Nr. </w:t>
      </w:r>
      <w:r w:rsidRPr="00203CA0">
        <w:rPr>
          <w:rFonts w:cstheme="minorHAnsi"/>
        </w:rPr>
        <w:t>eA-2417-415/2024</w:t>
      </w:r>
    </w:p>
    <w:p w14:paraId="1108804E" w14:textId="77777777" w:rsidR="00010AE4" w:rsidRPr="00E81924" w:rsidRDefault="00010AE4" w:rsidP="00010AE4">
      <w:pPr>
        <w:pStyle w:val="NoSpacing"/>
        <w:jc w:val="both"/>
        <w:rPr>
          <w:rFonts w:cstheme="minorHAnsi"/>
        </w:rPr>
      </w:pPr>
      <w:r w:rsidRPr="00E81924">
        <w:rPr>
          <w:rFonts w:cstheme="minorHAnsi"/>
        </w:rPr>
        <w:t xml:space="preserve">Teisminio proceso Nr. </w:t>
      </w:r>
      <w:r w:rsidRPr="00203CA0">
        <w:rPr>
          <w:rFonts w:cstheme="minorHAnsi"/>
        </w:rPr>
        <w:t>3-61-3-03339-2024-9</w:t>
      </w:r>
    </w:p>
    <w:p w14:paraId="0E2EDB93" w14:textId="77777777" w:rsidR="00010AE4" w:rsidRDefault="00010AE4" w:rsidP="00010AE4">
      <w:pPr>
        <w:pStyle w:val="NoSpacing"/>
        <w:jc w:val="both"/>
        <w:rPr>
          <w:rFonts w:cstheme="minorHAnsi"/>
          <w:color w:val="FF0000"/>
        </w:rPr>
      </w:pPr>
      <w:hyperlink r:id="rId12" w:history="1">
        <w:r w:rsidRPr="001420AC">
          <w:rPr>
            <w:rStyle w:val="Hyperlink"/>
            <w:rFonts w:cstheme="minorHAnsi"/>
          </w:rPr>
          <w:t>Prieiga internete</w:t>
        </w:r>
      </w:hyperlink>
    </w:p>
    <w:p w14:paraId="36AA4276" w14:textId="77777777" w:rsidR="00010AE4" w:rsidRDefault="00010AE4" w:rsidP="00010AE4">
      <w:pPr>
        <w:pStyle w:val="NoSpacing"/>
        <w:jc w:val="both"/>
        <w:rPr>
          <w:rFonts w:cstheme="minorHAnsi"/>
        </w:rPr>
      </w:pPr>
    </w:p>
    <w:p w14:paraId="3CC47B37" w14:textId="77777777" w:rsidR="00010AE4" w:rsidRPr="00E81924" w:rsidRDefault="00010AE4" w:rsidP="00010AE4">
      <w:pPr>
        <w:pStyle w:val="NoSpacing"/>
        <w:jc w:val="both"/>
        <w:rPr>
          <w:rFonts w:cstheme="minorHAnsi"/>
        </w:rPr>
      </w:pPr>
      <w:r>
        <w:rPr>
          <w:rFonts w:cstheme="minorHAnsi"/>
        </w:rPr>
        <w:t xml:space="preserve">Taip pat </w:t>
      </w:r>
      <w:r w:rsidRPr="00A16236">
        <w:rPr>
          <w:rFonts w:cstheme="minorHAnsi"/>
        </w:rPr>
        <w:t xml:space="preserve">2024 m. </w:t>
      </w:r>
      <w:r>
        <w:rPr>
          <w:rFonts w:cstheme="minorHAnsi"/>
        </w:rPr>
        <w:t>lapkričio 20</w:t>
      </w:r>
      <w:r w:rsidRPr="00A16236">
        <w:rPr>
          <w:rFonts w:cstheme="minorHAnsi"/>
        </w:rPr>
        <w:t xml:space="preserve"> d.</w:t>
      </w:r>
      <w:r>
        <w:rPr>
          <w:rFonts w:cstheme="minorHAnsi"/>
        </w:rPr>
        <w:t xml:space="preserve"> nutartis </w:t>
      </w:r>
      <w:r w:rsidRPr="00E81924">
        <w:rPr>
          <w:rFonts w:cstheme="minorHAnsi"/>
        </w:rPr>
        <w:t xml:space="preserve">administracinėje byloje Nr. </w:t>
      </w:r>
      <w:r w:rsidRPr="004B418C">
        <w:rPr>
          <w:rFonts w:cstheme="minorHAnsi"/>
        </w:rPr>
        <w:t>eA-2394-575/2024</w:t>
      </w:r>
    </w:p>
    <w:p w14:paraId="58B7B85B" w14:textId="77777777" w:rsidR="00010AE4" w:rsidRPr="00E81924" w:rsidRDefault="00010AE4" w:rsidP="00010AE4">
      <w:pPr>
        <w:pStyle w:val="NoSpacing"/>
        <w:jc w:val="both"/>
        <w:rPr>
          <w:rFonts w:cstheme="minorHAnsi"/>
        </w:rPr>
      </w:pPr>
      <w:r w:rsidRPr="00E81924">
        <w:rPr>
          <w:rFonts w:cstheme="minorHAnsi"/>
        </w:rPr>
        <w:t xml:space="preserve">Teisminio proceso Nr. </w:t>
      </w:r>
      <w:r w:rsidRPr="004B418C">
        <w:rPr>
          <w:rFonts w:cstheme="minorHAnsi"/>
        </w:rPr>
        <w:t>3-61-3-03332-2024-2</w:t>
      </w:r>
    </w:p>
    <w:p w14:paraId="1B2870EC" w14:textId="77777777" w:rsidR="00010AE4" w:rsidRDefault="00010AE4" w:rsidP="00010AE4">
      <w:pPr>
        <w:pStyle w:val="NoSpacing"/>
        <w:jc w:val="both"/>
        <w:rPr>
          <w:rFonts w:cstheme="minorHAnsi"/>
          <w:color w:val="FF0000"/>
        </w:rPr>
      </w:pPr>
      <w:hyperlink r:id="rId13" w:history="1">
        <w:r w:rsidRPr="001420AC">
          <w:rPr>
            <w:rStyle w:val="Hyperlink"/>
            <w:rFonts w:cstheme="minorHAnsi"/>
          </w:rPr>
          <w:t>Prieiga internete</w:t>
        </w:r>
      </w:hyperlink>
    </w:p>
    <w:p w14:paraId="7980DCDB" w14:textId="77777777" w:rsidR="00010AE4" w:rsidRDefault="00010AE4" w:rsidP="00010AE4">
      <w:pPr>
        <w:pStyle w:val="NoSpacing"/>
        <w:jc w:val="both"/>
        <w:rPr>
          <w:rFonts w:cstheme="minorHAnsi"/>
        </w:rPr>
      </w:pPr>
    </w:p>
    <w:p w14:paraId="5FA5B691" w14:textId="7FDB54B8" w:rsidR="00010AE4" w:rsidRPr="00010AE4" w:rsidRDefault="00010AE4" w:rsidP="00010AE4">
      <w:pPr>
        <w:jc w:val="both"/>
        <w:outlineLvl w:val="1"/>
        <w:rPr>
          <w:rFonts w:asciiTheme="minorHAnsi" w:eastAsia="Calibri" w:hAnsiTheme="minorHAnsi" w:cstheme="minorHAnsi"/>
          <w:i/>
          <w:sz w:val="22"/>
          <w:szCs w:val="22"/>
        </w:rPr>
      </w:pPr>
      <w:bookmarkStart w:id="22" w:name="_Toc187075135"/>
      <w:r w:rsidRPr="00010AE4">
        <w:rPr>
          <w:rFonts w:asciiTheme="minorHAnsi" w:eastAsia="Calibri" w:hAnsiTheme="minorHAnsi" w:cstheme="minorHAnsi"/>
          <w:i/>
          <w:sz w:val="22"/>
          <w:szCs w:val="22"/>
        </w:rPr>
        <w:t xml:space="preserve">Dėl užsieniečio ir bendrovės, į kurią užsienietis atvyksta dirbti, </w:t>
      </w:r>
      <w:r w:rsidR="00A77F34">
        <w:rPr>
          <w:rFonts w:asciiTheme="minorHAnsi" w:eastAsia="Calibri" w:hAnsiTheme="minorHAnsi" w:cstheme="minorHAnsi"/>
          <w:i/>
          <w:sz w:val="22"/>
          <w:szCs w:val="22"/>
        </w:rPr>
        <w:t xml:space="preserve">sąsajų </w:t>
      </w:r>
      <w:r w:rsidRPr="00010AE4">
        <w:rPr>
          <w:rFonts w:asciiTheme="minorHAnsi" w:eastAsia="Calibri" w:hAnsiTheme="minorHAnsi" w:cstheme="minorHAnsi"/>
          <w:i/>
          <w:sz w:val="22"/>
          <w:szCs w:val="22"/>
        </w:rPr>
        <w:t>vertinimo leidimo laikinai gyventi išdavimo procedūros metu</w:t>
      </w:r>
      <w:bookmarkEnd w:id="22"/>
    </w:p>
    <w:p w14:paraId="7359C000" w14:textId="77777777" w:rsidR="00010AE4" w:rsidRDefault="00010AE4" w:rsidP="00010AE4">
      <w:pPr>
        <w:pStyle w:val="NoSpacing"/>
        <w:jc w:val="both"/>
        <w:rPr>
          <w:rFonts w:cstheme="minorHAnsi"/>
        </w:rPr>
      </w:pPr>
    </w:p>
    <w:p w14:paraId="5527AC58" w14:textId="1D69881E" w:rsidR="00010AE4" w:rsidRPr="004D3EEE" w:rsidRDefault="00010AE4" w:rsidP="00010AE4">
      <w:pPr>
        <w:pStyle w:val="NoSpacing"/>
        <w:ind w:firstLine="567"/>
        <w:jc w:val="both"/>
        <w:rPr>
          <w:rFonts w:cstheme="minorHAnsi"/>
        </w:rPr>
      </w:pPr>
      <w:r w:rsidRPr="004D3EEE">
        <w:rPr>
          <w:rFonts w:cstheme="minorHAnsi"/>
        </w:rPr>
        <w:t>Byloje nagrinėtas ginčas, kilęs dėl MD sprendimo, kuriuo atsisakyta išduoti pareiškėjai leidimą laikinai gyventi</w:t>
      </w:r>
      <w:r>
        <w:rPr>
          <w:rFonts w:cstheme="minorHAnsi"/>
        </w:rPr>
        <w:t xml:space="preserve"> Lietuvoje</w:t>
      </w:r>
      <w:r w:rsidRPr="004D3EEE">
        <w:rPr>
          <w:rFonts w:cstheme="minorHAnsi"/>
        </w:rPr>
        <w:t>, pagrįstumo ir teisėtumo.</w:t>
      </w:r>
    </w:p>
    <w:p w14:paraId="6E0B9EFB" w14:textId="77777777" w:rsidR="00010AE4" w:rsidRDefault="00010AE4" w:rsidP="00010AE4">
      <w:pPr>
        <w:pStyle w:val="NoSpacing"/>
        <w:ind w:firstLine="567"/>
        <w:jc w:val="both"/>
        <w:rPr>
          <w:rFonts w:cstheme="minorHAnsi"/>
        </w:rPr>
      </w:pPr>
      <w:r w:rsidRPr="004D3EEE">
        <w:rPr>
          <w:rFonts w:cstheme="minorHAnsi"/>
        </w:rPr>
        <w:t>Pirmosios instancijos teismas atmetė pareiškėjo</w:t>
      </w:r>
      <w:r>
        <w:rPr>
          <w:rFonts w:cstheme="minorHAnsi"/>
        </w:rPr>
        <w:t>s</w:t>
      </w:r>
      <w:r w:rsidRPr="004D3EEE">
        <w:rPr>
          <w:rFonts w:cstheme="minorHAnsi"/>
        </w:rPr>
        <w:t xml:space="preserve"> skundą, nustatęs, kad</w:t>
      </w:r>
      <w:r>
        <w:rPr>
          <w:rFonts w:cstheme="minorHAnsi"/>
        </w:rPr>
        <w:t xml:space="preserve"> </w:t>
      </w:r>
      <w:r w:rsidRPr="004D3EEE">
        <w:rPr>
          <w:rFonts w:cstheme="minorHAnsi"/>
        </w:rPr>
        <w:t xml:space="preserve">pareiškėja nepaneigė </w:t>
      </w:r>
      <w:r>
        <w:rPr>
          <w:rFonts w:cstheme="minorHAnsi"/>
        </w:rPr>
        <w:t>MD n</w:t>
      </w:r>
      <w:r w:rsidRPr="004D3EEE">
        <w:rPr>
          <w:rFonts w:cstheme="minorHAnsi"/>
        </w:rPr>
        <w:t>urodytų pagrindų atsisakyti išduoti leidimą laikinai gyventi</w:t>
      </w:r>
      <w:r>
        <w:rPr>
          <w:rFonts w:cstheme="minorHAnsi"/>
        </w:rPr>
        <w:t xml:space="preserve"> – </w:t>
      </w:r>
      <w:r w:rsidRPr="004D3EEE">
        <w:rPr>
          <w:rFonts w:cstheme="minorHAnsi"/>
        </w:rPr>
        <w:t>pateikti tikrovės neatitinkantys duomenys</w:t>
      </w:r>
      <w:r>
        <w:rPr>
          <w:rFonts w:cstheme="minorHAnsi"/>
        </w:rPr>
        <w:t>, taip pat yra</w:t>
      </w:r>
      <w:r w:rsidRPr="004D3EEE">
        <w:t xml:space="preserve"> </w:t>
      </w:r>
      <w:r w:rsidRPr="004D3EEE">
        <w:rPr>
          <w:rFonts w:cstheme="minorHAnsi"/>
        </w:rPr>
        <w:t>rimt</w:t>
      </w:r>
      <w:r>
        <w:rPr>
          <w:rFonts w:cstheme="minorHAnsi"/>
        </w:rPr>
        <w:t>as</w:t>
      </w:r>
      <w:r w:rsidRPr="004D3EEE">
        <w:rPr>
          <w:rFonts w:cstheme="minorHAnsi"/>
        </w:rPr>
        <w:t xml:space="preserve"> pagrind</w:t>
      </w:r>
      <w:r>
        <w:rPr>
          <w:rFonts w:cstheme="minorHAnsi"/>
        </w:rPr>
        <w:t>as</w:t>
      </w:r>
      <w:r w:rsidRPr="004D3EEE">
        <w:rPr>
          <w:rFonts w:cstheme="minorHAnsi"/>
        </w:rPr>
        <w:t xml:space="preserve"> manyti, jog gali kilti pareiškėjos nelegalios migracijos grėsm</w:t>
      </w:r>
      <w:r>
        <w:rPr>
          <w:rFonts w:cstheme="minorHAnsi"/>
        </w:rPr>
        <w:t>ė.</w:t>
      </w:r>
    </w:p>
    <w:p w14:paraId="4EDEFC6B" w14:textId="79FEACF5" w:rsidR="00010AE4" w:rsidRDefault="00010AE4" w:rsidP="00010AE4">
      <w:pPr>
        <w:pStyle w:val="NoSpacing"/>
        <w:ind w:firstLine="567"/>
        <w:jc w:val="both"/>
        <w:rPr>
          <w:rFonts w:cstheme="minorHAnsi"/>
        </w:rPr>
      </w:pPr>
      <w:r>
        <w:rPr>
          <w:rFonts w:cstheme="minorHAnsi"/>
        </w:rPr>
        <w:t>Sutikdama su pirmosios instancijos teismo išvadomis, LVAT teisėjų kolegija pažymėjo, jog MD</w:t>
      </w:r>
      <w:r w:rsidRPr="00750656">
        <w:rPr>
          <w:rFonts w:cstheme="minorHAnsi"/>
        </w:rPr>
        <w:t xml:space="preserve"> pagrįstai </w:t>
      </w:r>
      <w:r w:rsidR="001119E6">
        <w:rPr>
          <w:rFonts w:cstheme="minorHAnsi"/>
        </w:rPr>
        <w:t>byloje ginčyt</w:t>
      </w:r>
      <w:r w:rsidRPr="00750656">
        <w:rPr>
          <w:rFonts w:cstheme="minorHAnsi"/>
        </w:rPr>
        <w:t xml:space="preserve">ą </w:t>
      </w:r>
      <w:r>
        <w:rPr>
          <w:rFonts w:cstheme="minorHAnsi"/>
        </w:rPr>
        <w:t>s</w:t>
      </w:r>
      <w:r w:rsidRPr="00750656">
        <w:rPr>
          <w:rFonts w:cstheme="minorHAnsi"/>
        </w:rPr>
        <w:t xml:space="preserve">prendimą priėmė remdamasis </w:t>
      </w:r>
      <w:r>
        <w:rPr>
          <w:rFonts w:cstheme="minorHAnsi"/>
        </w:rPr>
        <w:t>UTPĮ</w:t>
      </w:r>
      <w:r w:rsidRPr="00750656">
        <w:rPr>
          <w:rFonts w:cstheme="minorHAnsi"/>
        </w:rPr>
        <w:t xml:space="preserve"> 35 straipsnio 1 dalies 2 ir 12 punktais, kadangi pareiškėja prašyme ir </w:t>
      </w:r>
      <w:r>
        <w:rPr>
          <w:rFonts w:cstheme="minorHAnsi"/>
        </w:rPr>
        <w:t>b</w:t>
      </w:r>
      <w:r w:rsidRPr="00750656">
        <w:rPr>
          <w:rFonts w:cstheme="minorHAnsi"/>
        </w:rPr>
        <w:t xml:space="preserve">endrovė tarpininkavimo rašte pateikė duomenis, jog </w:t>
      </w:r>
      <w:r>
        <w:rPr>
          <w:rFonts w:cstheme="minorHAnsi"/>
        </w:rPr>
        <w:t xml:space="preserve">pareiškėja </w:t>
      </w:r>
      <w:r w:rsidRPr="00750656">
        <w:rPr>
          <w:rFonts w:cstheme="minorHAnsi"/>
        </w:rPr>
        <w:t xml:space="preserve">ketina dirbti </w:t>
      </w:r>
      <w:r>
        <w:rPr>
          <w:rFonts w:cstheme="minorHAnsi"/>
        </w:rPr>
        <w:t>b</w:t>
      </w:r>
      <w:r w:rsidRPr="00750656">
        <w:rPr>
          <w:rFonts w:cstheme="minorHAnsi"/>
        </w:rPr>
        <w:t xml:space="preserve">endrovėje, kuri faktiškai nevykdo deklaruojamos veiklos, taip pat yra didelė tikimybė, kad pareiškėja nedirbs prašyme nurodyto darbo, o </w:t>
      </w:r>
      <w:r>
        <w:rPr>
          <w:rFonts w:cstheme="minorHAnsi"/>
        </w:rPr>
        <w:t>b</w:t>
      </w:r>
      <w:r w:rsidRPr="00750656">
        <w:rPr>
          <w:rFonts w:cstheme="minorHAnsi"/>
        </w:rPr>
        <w:t>endrovė nemokės prašyme ir tarpininkavimo rašte nurodyto atlygio, dėl ko kyla nelegalios migracijos grėsmė.</w:t>
      </w:r>
      <w:r>
        <w:rPr>
          <w:rFonts w:cstheme="minorHAnsi"/>
        </w:rPr>
        <w:t xml:space="preserve"> Šiomis aplinkybėmis</w:t>
      </w:r>
      <w:r w:rsidRPr="00BE2E5F">
        <w:rPr>
          <w:rFonts w:cstheme="minorHAnsi"/>
        </w:rPr>
        <w:t xml:space="preserve"> teisėjų kolegija akcent</w:t>
      </w:r>
      <w:r>
        <w:rPr>
          <w:rFonts w:cstheme="minorHAnsi"/>
        </w:rPr>
        <w:t>avo</w:t>
      </w:r>
      <w:r w:rsidRPr="00BE2E5F">
        <w:rPr>
          <w:rFonts w:cstheme="minorHAnsi"/>
        </w:rPr>
        <w:t xml:space="preserve">, jog </w:t>
      </w:r>
      <w:r w:rsidRPr="00BE2E5F">
        <w:rPr>
          <w:rFonts w:cstheme="minorHAnsi"/>
          <w:u w:val="single"/>
        </w:rPr>
        <w:t>leidimo laikinai gyventi išdavimo pareiškėjai procedūroje tiek pareiškėja, tiek bendrovė yra tiesiogiai susiję asmenys (bendrovė darbui, nurodytam tarpininkavimo rašte, pasirinko būtent pareiškėją, o pareiškėja prašė leidimo laikinai gyventi, bendrovei įsipareigojus ją įdarbinti nurodytoms pareigoms ir mokėti nurodytą atlyginimą), todėl jų teikiama informacija (taip pat jos nepateikimas) turi būti vertinama bendrai</w:t>
      </w:r>
      <w:r w:rsidRPr="00BE2E5F">
        <w:rPr>
          <w:rFonts w:cstheme="minorHAnsi"/>
        </w:rPr>
        <w:t xml:space="preserve">. </w:t>
      </w:r>
      <w:r>
        <w:rPr>
          <w:rFonts w:cstheme="minorHAnsi"/>
        </w:rPr>
        <w:t>Aptariamos</w:t>
      </w:r>
      <w:r w:rsidRPr="00BE2E5F">
        <w:rPr>
          <w:rFonts w:cstheme="minorHAnsi"/>
        </w:rPr>
        <w:t xml:space="preserve"> bylos kontekste </w:t>
      </w:r>
      <w:r>
        <w:rPr>
          <w:rFonts w:cstheme="minorHAnsi"/>
        </w:rPr>
        <w:t>b</w:t>
      </w:r>
      <w:r w:rsidRPr="00BE2E5F">
        <w:rPr>
          <w:rFonts w:cstheme="minorHAnsi"/>
        </w:rPr>
        <w:t xml:space="preserve">endrovės nebendradarbiavimas su </w:t>
      </w:r>
      <w:r>
        <w:rPr>
          <w:rFonts w:cstheme="minorHAnsi"/>
        </w:rPr>
        <w:t>MD</w:t>
      </w:r>
      <w:r w:rsidRPr="00BE2E5F">
        <w:rPr>
          <w:rFonts w:cstheme="minorHAnsi"/>
        </w:rPr>
        <w:t xml:space="preserve"> nepateikiant sprendim</w:t>
      </w:r>
      <w:r>
        <w:rPr>
          <w:rFonts w:cstheme="minorHAnsi"/>
        </w:rPr>
        <w:t>ui</w:t>
      </w:r>
      <w:r w:rsidRPr="00BE2E5F">
        <w:rPr>
          <w:rFonts w:cstheme="minorHAnsi"/>
        </w:rPr>
        <w:t xml:space="preserve"> pri</w:t>
      </w:r>
      <w:r>
        <w:rPr>
          <w:rFonts w:cstheme="minorHAnsi"/>
        </w:rPr>
        <w:t>imt</w:t>
      </w:r>
      <w:r w:rsidRPr="00BE2E5F">
        <w:rPr>
          <w:rFonts w:cstheme="minorHAnsi"/>
        </w:rPr>
        <w:t xml:space="preserve">i reikšmingos informacijos apie realiai vykdomą ir ketinamą vykdyti veiklą (kokius pardavimus planuojama vykdyti, kiek vadybininkų ketinama įdarbinti, kokiu adresu jie dirbs, kur bus sandėliuojamos prekės) yra rimtas pagrindas manyti, jog </w:t>
      </w:r>
      <w:r>
        <w:rPr>
          <w:rFonts w:cstheme="minorHAnsi"/>
        </w:rPr>
        <w:t>b</w:t>
      </w:r>
      <w:r w:rsidRPr="00BE2E5F">
        <w:rPr>
          <w:rFonts w:cstheme="minorHAnsi"/>
        </w:rPr>
        <w:t xml:space="preserve">endrovei nevykdant deklaruojamų veiklų gali kilti pareiškėjos nelegalios migracijos grėsmė. Be to, pareiškėjos prašymo nagrinėjimo metu nustačius, jog </w:t>
      </w:r>
      <w:r>
        <w:rPr>
          <w:rFonts w:cstheme="minorHAnsi"/>
        </w:rPr>
        <w:t>b</w:t>
      </w:r>
      <w:r w:rsidRPr="00BE2E5F">
        <w:rPr>
          <w:rFonts w:cstheme="minorHAnsi"/>
        </w:rPr>
        <w:t xml:space="preserve">endrovėje įdarbintiems užsieniečiams 2024 m. vasario, kovo ir balandžio mėnesiais nebuvo mokamas darbo užmokestis, įvertinus tai, kad </w:t>
      </w:r>
      <w:r>
        <w:rPr>
          <w:rFonts w:cstheme="minorHAnsi"/>
        </w:rPr>
        <w:t>b</w:t>
      </w:r>
      <w:r w:rsidRPr="00BE2E5F">
        <w:rPr>
          <w:rFonts w:cstheme="minorHAnsi"/>
        </w:rPr>
        <w:t xml:space="preserve">endrovė nepateikė informacijos apie vykdomą ir ketinamą vykdyti veiklą, </w:t>
      </w:r>
      <w:r>
        <w:rPr>
          <w:rFonts w:cstheme="minorHAnsi"/>
        </w:rPr>
        <w:t xml:space="preserve">MD </w:t>
      </w:r>
      <w:r w:rsidRPr="00BE2E5F">
        <w:rPr>
          <w:rFonts w:cstheme="minorHAnsi"/>
        </w:rPr>
        <w:t xml:space="preserve">pagrįstai sprendė, jog duomenys, kuriuos pareiškėja ir </w:t>
      </w:r>
      <w:r>
        <w:rPr>
          <w:rFonts w:cstheme="minorHAnsi"/>
        </w:rPr>
        <w:t>b</w:t>
      </w:r>
      <w:r w:rsidRPr="00BE2E5F">
        <w:rPr>
          <w:rFonts w:cstheme="minorHAnsi"/>
        </w:rPr>
        <w:t>endrovė pateikė leidimui laikinai gyventi gauti</w:t>
      </w:r>
      <w:r w:rsidR="001119E6">
        <w:rPr>
          <w:rFonts w:cstheme="minorHAnsi"/>
        </w:rPr>
        <w:t>,</w:t>
      </w:r>
      <w:r w:rsidRPr="00BE2E5F">
        <w:rPr>
          <w:rFonts w:cstheme="minorHAnsi"/>
        </w:rPr>
        <w:t xml:space="preserve"> neatitiko tikrovės, kadangi veikla realiai nebuvo vykdoma ir nebus sukurti realūs pareiškėjos ir </w:t>
      </w:r>
      <w:r>
        <w:rPr>
          <w:rFonts w:cstheme="minorHAnsi"/>
        </w:rPr>
        <w:t>b</w:t>
      </w:r>
      <w:r w:rsidRPr="00BE2E5F">
        <w:rPr>
          <w:rFonts w:cstheme="minorHAnsi"/>
        </w:rPr>
        <w:t>endrovės darbo santykiai.</w:t>
      </w:r>
    </w:p>
    <w:p w14:paraId="5B866AD0" w14:textId="77777777" w:rsidR="00010AE4" w:rsidRDefault="00010AE4" w:rsidP="00010AE4">
      <w:pPr>
        <w:pStyle w:val="NoSpacing"/>
        <w:ind w:firstLine="567"/>
        <w:jc w:val="both"/>
        <w:rPr>
          <w:rFonts w:cstheme="minorHAnsi"/>
        </w:rPr>
      </w:pPr>
      <w:r>
        <w:rPr>
          <w:rFonts w:cstheme="minorHAnsi"/>
        </w:rPr>
        <w:t>LVAT atmetė pareiškėjos apeliacinį skundą.</w:t>
      </w:r>
    </w:p>
    <w:p w14:paraId="4EBC9483" w14:textId="77777777" w:rsidR="00010AE4" w:rsidRDefault="00010AE4" w:rsidP="00010AE4">
      <w:pPr>
        <w:pStyle w:val="NoSpacing"/>
        <w:jc w:val="both"/>
        <w:rPr>
          <w:rFonts w:cstheme="minorHAnsi"/>
        </w:rPr>
      </w:pPr>
    </w:p>
    <w:p w14:paraId="339A5575" w14:textId="77777777" w:rsidR="00010AE4" w:rsidRPr="00E81924" w:rsidRDefault="00010AE4" w:rsidP="00010AE4">
      <w:pPr>
        <w:pStyle w:val="NoSpacing"/>
        <w:jc w:val="both"/>
        <w:rPr>
          <w:rFonts w:cstheme="minorHAnsi"/>
        </w:rPr>
      </w:pPr>
      <w:r w:rsidRPr="00A16236">
        <w:rPr>
          <w:rFonts w:cstheme="minorHAnsi"/>
        </w:rPr>
        <w:t xml:space="preserve">2024 m. </w:t>
      </w:r>
      <w:r>
        <w:rPr>
          <w:rFonts w:cstheme="minorHAnsi"/>
        </w:rPr>
        <w:t>lapkričio 13</w:t>
      </w:r>
      <w:r w:rsidRPr="00A16236">
        <w:rPr>
          <w:rFonts w:cstheme="minorHAnsi"/>
        </w:rPr>
        <w:t xml:space="preserve"> d.</w:t>
      </w:r>
      <w:r>
        <w:rPr>
          <w:rFonts w:cstheme="minorHAnsi"/>
        </w:rPr>
        <w:t xml:space="preserve"> nutartis </w:t>
      </w:r>
      <w:r w:rsidRPr="00E81924">
        <w:rPr>
          <w:rFonts w:cstheme="minorHAnsi"/>
        </w:rPr>
        <w:t xml:space="preserve">administracinėje byloje Nr. </w:t>
      </w:r>
      <w:r w:rsidRPr="00B479E5">
        <w:rPr>
          <w:rFonts w:cstheme="minorHAnsi"/>
        </w:rPr>
        <w:t>eA-2416-821/2024</w:t>
      </w:r>
    </w:p>
    <w:p w14:paraId="42CD4A9C" w14:textId="77777777" w:rsidR="00010AE4" w:rsidRPr="00E81924" w:rsidRDefault="00010AE4" w:rsidP="00010AE4">
      <w:pPr>
        <w:pStyle w:val="NoSpacing"/>
        <w:jc w:val="both"/>
        <w:rPr>
          <w:rFonts w:cstheme="minorHAnsi"/>
        </w:rPr>
      </w:pPr>
      <w:r w:rsidRPr="00E81924">
        <w:rPr>
          <w:rFonts w:cstheme="minorHAnsi"/>
        </w:rPr>
        <w:t xml:space="preserve">Teisminio proceso Nr. </w:t>
      </w:r>
      <w:r w:rsidRPr="00B479E5">
        <w:rPr>
          <w:rFonts w:cstheme="minorHAnsi"/>
        </w:rPr>
        <w:t>3-61-3-03372-2024-6</w:t>
      </w:r>
    </w:p>
    <w:p w14:paraId="58B42C18" w14:textId="77777777" w:rsidR="00010AE4" w:rsidRDefault="00010AE4" w:rsidP="00010AE4">
      <w:pPr>
        <w:pStyle w:val="NoSpacing"/>
        <w:jc w:val="both"/>
        <w:rPr>
          <w:rFonts w:cstheme="minorHAnsi"/>
          <w:color w:val="FF0000"/>
        </w:rPr>
      </w:pPr>
      <w:hyperlink r:id="rId14" w:history="1">
        <w:r w:rsidRPr="001420AC">
          <w:rPr>
            <w:rStyle w:val="Hyperlink"/>
            <w:rFonts w:cstheme="minorHAnsi"/>
          </w:rPr>
          <w:t>Prieiga internete</w:t>
        </w:r>
      </w:hyperlink>
    </w:p>
    <w:p w14:paraId="130C845D" w14:textId="77777777" w:rsidR="00010AE4" w:rsidRDefault="00010AE4" w:rsidP="00010AE4">
      <w:pPr>
        <w:pStyle w:val="NoSpacing"/>
        <w:jc w:val="both"/>
        <w:rPr>
          <w:rFonts w:cstheme="minorHAnsi"/>
        </w:rPr>
      </w:pPr>
    </w:p>
    <w:p w14:paraId="623EAFFC" w14:textId="77777777" w:rsidR="00010AE4" w:rsidRPr="00E81924" w:rsidRDefault="00010AE4" w:rsidP="00010AE4">
      <w:pPr>
        <w:pStyle w:val="NoSpacing"/>
        <w:jc w:val="both"/>
        <w:rPr>
          <w:rFonts w:cstheme="minorHAnsi"/>
        </w:rPr>
      </w:pPr>
      <w:r>
        <w:rPr>
          <w:rFonts w:cstheme="minorHAnsi"/>
        </w:rPr>
        <w:t xml:space="preserve">Taip pat </w:t>
      </w:r>
      <w:r w:rsidRPr="00A16236">
        <w:rPr>
          <w:rFonts w:cstheme="minorHAnsi"/>
        </w:rPr>
        <w:t xml:space="preserve">2024 m. </w:t>
      </w:r>
      <w:r>
        <w:rPr>
          <w:rFonts w:cstheme="minorHAnsi"/>
        </w:rPr>
        <w:t>lapkričio 27</w:t>
      </w:r>
      <w:r w:rsidRPr="00A16236">
        <w:rPr>
          <w:rFonts w:cstheme="minorHAnsi"/>
        </w:rPr>
        <w:t xml:space="preserve"> d.</w:t>
      </w:r>
      <w:r>
        <w:rPr>
          <w:rFonts w:cstheme="minorHAnsi"/>
        </w:rPr>
        <w:t xml:space="preserve"> nutartis </w:t>
      </w:r>
      <w:r w:rsidRPr="00E81924">
        <w:rPr>
          <w:rFonts w:cstheme="minorHAnsi"/>
        </w:rPr>
        <w:t xml:space="preserve">administracinėje byloje Nr. </w:t>
      </w:r>
      <w:r w:rsidRPr="002A1235">
        <w:rPr>
          <w:rFonts w:cstheme="minorHAnsi"/>
        </w:rPr>
        <w:t>eA-2464-789/2024</w:t>
      </w:r>
    </w:p>
    <w:p w14:paraId="19F24C56" w14:textId="77777777" w:rsidR="00010AE4" w:rsidRPr="00E81924" w:rsidRDefault="00010AE4" w:rsidP="00010AE4">
      <w:pPr>
        <w:pStyle w:val="NoSpacing"/>
        <w:jc w:val="both"/>
        <w:rPr>
          <w:rFonts w:cstheme="minorHAnsi"/>
        </w:rPr>
      </w:pPr>
      <w:r w:rsidRPr="00E81924">
        <w:rPr>
          <w:rFonts w:cstheme="minorHAnsi"/>
        </w:rPr>
        <w:t xml:space="preserve">Teisminio proceso Nr. </w:t>
      </w:r>
      <w:r w:rsidRPr="002A1235">
        <w:rPr>
          <w:rFonts w:cstheme="minorHAnsi"/>
        </w:rPr>
        <w:t>3-61-3-03368-2024-1</w:t>
      </w:r>
    </w:p>
    <w:p w14:paraId="7F674765" w14:textId="77777777" w:rsidR="00010AE4" w:rsidRDefault="00010AE4" w:rsidP="00010AE4">
      <w:pPr>
        <w:pStyle w:val="NoSpacing"/>
        <w:jc w:val="both"/>
        <w:rPr>
          <w:rStyle w:val="Hyperlink"/>
          <w:rFonts w:cstheme="minorHAnsi"/>
        </w:rPr>
      </w:pPr>
      <w:hyperlink r:id="rId15" w:history="1">
        <w:r w:rsidRPr="001420AC">
          <w:rPr>
            <w:rStyle w:val="Hyperlink"/>
            <w:rFonts w:cstheme="minorHAnsi"/>
          </w:rPr>
          <w:t>Prieiga internete</w:t>
        </w:r>
      </w:hyperlink>
    </w:p>
    <w:p w14:paraId="382AEAD3" w14:textId="77777777" w:rsidR="00010AE4" w:rsidRDefault="00010AE4" w:rsidP="00010AE4">
      <w:pPr>
        <w:pStyle w:val="NoSpacing"/>
        <w:jc w:val="both"/>
        <w:rPr>
          <w:rStyle w:val="Hyperlink"/>
          <w:rFonts w:cstheme="minorHAnsi"/>
        </w:rPr>
      </w:pPr>
    </w:p>
    <w:p w14:paraId="617F6150" w14:textId="77777777" w:rsidR="00010AE4" w:rsidRPr="009C7E36" w:rsidRDefault="00010AE4" w:rsidP="00010AE4">
      <w:pPr>
        <w:pStyle w:val="NoSpacing"/>
        <w:ind w:firstLine="567"/>
        <w:jc w:val="both"/>
        <w:rPr>
          <w:rFonts w:cstheme="minorHAnsi"/>
          <w:b/>
          <w:bCs/>
          <w:u w:val="single"/>
        </w:rPr>
      </w:pPr>
      <w:r w:rsidRPr="009C7E36">
        <w:rPr>
          <w:rFonts w:cstheme="minorHAnsi"/>
          <w:b/>
          <w:bCs/>
          <w:u w:val="single"/>
        </w:rPr>
        <w:t>8.5. Užsieniečių sulaikymas</w:t>
      </w:r>
    </w:p>
    <w:p w14:paraId="6EC530E5" w14:textId="77777777" w:rsidR="00010AE4" w:rsidRDefault="00010AE4" w:rsidP="00010AE4">
      <w:pPr>
        <w:pStyle w:val="NoSpacing"/>
        <w:jc w:val="both"/>
        <w:rPr>
          <w:rFonts w:cstheme="minorHAnsi"/>
        </w:rPr>
      </w:pPr>
    </w:p>
    <w:p w14:paraId="1DF1C48B" w14:textId="77777777" w:rsidR="00010AE4" w:rsidRPr="00010AE4" w:rsidRDefault="00010AE4" w:rsidP="00010AE4">
      <w:pPr>
        <w:jc w:val="both"/>
        <w:outlineLvl w:val="1"/>
        <w:rPr>
          <w:rFonts w:asciiTheme="minorHAnsi" w:eastAsia="Calibri" w:hAnsiTheme="minorHAnsi" w:cstheme="minorHAnsi"/>
          <w:i/>
          <w:sz w:val="22"/>
          <w:szCs w:val="22"/>
        </w:rPr>
      </w:pPr>
      <w:bookmarkStart w:id="23" w:name="_Toc187075136"/>
      <w:r w:rsidRPr="00010AE4">
        <w:rPr>
          <w:rFonts w:asciiTheme="minorHAnsi" w:eastAsia="Calibri" w:hAnsiTheme="minorHAnsi" w:cstheme="minorHAnsi"/>
          <w:i/>
          <w:sz w:val="22"/>
          <w:szCs w:val="22"/>
        </w:rPr>
        <w:t>Dėl užsieniečio (ne prieglobsčio prašytojo) sulaikymo, esant priimtam sprendimui išsiųsti užsienietį iš Lietuvos</w:t>
      </w:r>
      <w:bookmarkEnd w:id="23"/>
    </w:p>
    <w:p w14:paraId="5F0DCC01" w14:textId="77777777" w:rsidR="00010AE4" w:rsidRDefault="00010AE4" w:rsidP="00010AE4">
      <w:pPr>
        <w:pStyle w:val="NoSpacing"/>
        <w:jc w:val="both"/>
        <w:rPr>
          <w:rFonts w:cstheme="minorHAnsi"/>
        </w:rPr>
      </w:pPr>
    </w:p>
    <w:p w14:paraId="2F583574" w14:textId="2F7BE86A" w:rsidR="00010AE4" w:rsidRDefault="00010AE4" w:rsidP="00010AE4">
      <w:pPr>
        <w:pStyle w:val="NoSpacing"/>
        <w:ind w:firstLine="567"/>
        <w:jc w:val="both"/>
        <w:rPr>
          <w:rFonts w:cstheme="minorHAnsi"/>
        </w:rPr>
      </w:pPr>
      <w:r w:rsidRPr="00D902FA">
        <w:rPr>
          <w:rFonts w:cstheme="minorHAnsi"/>
        </w:rPr>
        <w:t>Pareiškėjas V</w:t>
      </w:r>
      <w:r w:rsidR="001A169E">
        <w:rPr>
          <w:rFonts w:cstheme="minorHAnsi"/>
        </w:rPr>
        <w:t>SAT</w:t>
      </w:r>
      <w:r w:rsidRPr="00D902FA">
        <w:rPr>
          <w:rFonts w:cstheme="minorHAnsi"/>
        </w:rPr>
        <w:t xml:space="preserve"> Užsieniečių registracijos centras (toliau – Centras) kreipėsi į teismą su teikimu, prašydamas </w:t>
      </w:r>
      <w:r>
        <w:rPr>
          <w:rFonts w:cstheme="minorHAnsi"/>
        </w:rPr>
        <w:t xml:space="preserve">užsieniečiui </w:t>
      </w:r>
      <w:r w:rsidRPr="00D902FA">
        <w:rPr>
          <w:rFonts w:cstheme="minorHAnsi"/>
        </w:rPr>
        <w:t>taikyti alternatyvią sulaikymui priemonę – apgyvendin</w:t>
      </w:r>
      <w:r>
        <w:rPr>
          <w:rFonts w:cstheme="minorHAnsi"/>
        </w:rPr>
        <w:t>ti</w:t>
      </w:r>
      <w:r w:rsidRPr="00D902FA">
        <w:rPr>
          <w:rFonts w:cstheme="minorHAnsi"/>
        </w:rPr>
        <w:t xml:space="preserve"> </w:t>
      </w:r>
      <w:r>
        <w:rPr>
          <w:rFonts w:cstheme="minorHAnsi"/>
        </w:rPr>
        <w:t>jį Centre</w:t>
      </w:r>
      <w:r w:rsidRPr="00D902FA">
        <w:rPr>
          <w:rFonts w:cstheme="minorHAnsi"/>
        </w:rPr>
        <w:t>, nustatant pareigą neišvykti iš apgyvendinimo vietai priklausančios teritorijos be apgyvendinimo vietos vadovo ar jo įgalioto asmens leidimo</w:t>
      </w:r>
      <w:r>
        <w:rPr>
          <w:rFonts w:cstheme="minorHAnsi"/>
        </w:rPr>
        <w:t>.</w:t>
      </w:r>
    </w:p>
    <w:p w14:paraId="66077CFA" w14:textId="77777777" w:rsidR="00010AE4" w:rsidRDefault="00010AE4" w:rsidP="00010AE4">
      <w:pPr>
        <w:pStyle w:val="NoSpacing"/>
        <w:ind w:firstLine="567"/>
        <w:jc w:val="both"/>
        <w:rPr>
          <w:rFonts w:cstheme="minorHAnsi"/>
        </w:rPr>
      </w:pPr>
      <w:r>
        <w:rPr>
          <w:rFonts w:cstheme="minorHAnsi"/>
        </w:rPr>
        <w:t xml:space="preserve">Pirmosios instancijos teismas Centro </w:t>
      </w:r>
      <w:r w:rsidRPr="00D902FA">
        <w:rPr>
          <w:rFonts w:cstheme="minorHAnsi"/>
        </w:rPr>
        <w:t xml:space="preserve">teikimą tenkino iš dalies – skyrė </w:t>
      </w:r>
      <w:r>
        <w:rPr>
          <w:rFonts w:cstheme="minorHAnsi"/>
        </w:rPr>
        <w:t>u</w:t>
      </w:r>
      <w:r w:rsidRPr="00D902FA">
        <w:rPr>
          <w:rFonts w:cstheme="minorHAnsi"/>
        </w:rPr>
        <w:t xml:space="preserve">žsieniečiui alternatyvią sulaikymui priemonę – įpareigojimą elektroninių ryšių priemonėmis kiekvieną trečiadienį nuo 8.00 val. iki 17.00 val. pranešti </w:t>
      </w:r>
      <w:r>
        <w:rPr>
          <w:rFonts w:cstheme="minorHAnsi"/>
        </w:rPr>
        <w:t>C</w:t>
      </w:r>
      <w:r w:rsidRPr="00D902FA">
        <w:rPr>
          <w:rFonts w:cstheme="minorHAnsi"/>
        </w:rPr>
        <w:t>entrui apie savo buvimo vietą.</w:t>
      </w:r>
    </w:p>
    <w:p w14:paraId="48527ADB" w14:textId="1CE09824" w:rsidR="00010AE4" w:rsidRDefault="00010AE4" w:rsidP="00010AE4">
      <w:pPr>
        <w:pStyle w:val="NoSpacing"/>
        <w:ind w:firstLine="567"/>
        <w:jc w:val="both"/>
        <w:rPr>
          <w:rFonts w:cstheme="minorHAnsi"/>
        </w:rPr>
      </w:pPr>
      <w:r>
        <w:rPr>
          <w:rFonts w:cstheme="minorHAnsi"/>
        </w:rPr>
        <w:t>Byloje nustatyta, kad</w:t>
      </w:r>
      <w:r w:rsidRPr="00926F24">
        <w:t xml:space="preserve"> </w:t>
      </w:r>
      <w:r>
        <w:rPr>
          <w:rFonts w:cstheme="minorHAnsi"/>
        </w:rPr>
        <w:t>MD</w:t>
      </w:r>
      <w:r w:rsidRPr="00926F24">
        <w:rPr>
          <w:rFonts w:cstheme="minorHAnsi"/>
        </w:rPr>
        <w:t xml:space="preserve"> sprendimu </w:t>
      </w:r>
      <w:r>
        <w:rPr>
          <w:rFonts w:cstheme="minorHAnsi"/>
        </w:rPr>
        <w:t>u</w:t>
      </w:r>
      <w:r w:rsidRPr="00926F24">
        <w:rPr>
          <w:rFonts w:cstheme="minorHAnsi"/>
        </w:rPr>
        <w:t>žsieniečio leidimas laikinai gyventi Lietuvoje buvo panaikintas</w:t>
      </w:r>
      <w:r>
        <w:rPr>
          <w:rFonts w:cstheme="minorHAnsi"/>
        </w:rPr>
        <w:t xml:space="preserve"> dėl to, </w:t>
      </w:r>
      <w:r w:rsidR="00417584">
        <w:rPr>
          <w:rFonts w:cstheme="minorHAnsi"/>
        </w:rPr>
        <w:t>jog</w:t>
      </w:r>
      <w:r w:rsidRPr="00926F24">
        <w:rPr>
          <w:rFonts w:cstheme="minorHAnsi"/>
        </w:rPr>
        <w:t xml:space="preserve"> duomenys, kuriuos </w:t>
      </w:r>
      <w:r>
        <w:rPr>
          <w:rFonts w:cstheme="minorHAnsi"/>
        </w:rPr>
        <w:t>j</w:t>
      </w:r>
      <w:r w:rsidRPr="00926F24">
        <w:rPr>
          <w:rFonts w:cstheme="minorHAnsi"/>
        </w:rPr>
        <w:t>is pateikė, norėdamas gauti leidimą, neatiti</w:t>
      </w:r>
      <w:r>
        <w:rPr>
          <w:rFonts w:cstheme="minorHAnsi"/>
        </w:rPr>
        <w:t>ko</w:t>
      </w:r>
      <w:r w:rsidRPr="00926F24">
        <w:rPr>
          <w:rFonts w:cstheme="minorHAnsi"/>
        </w:rPr>
        <w:t xml:space="preserve"> tikrovės</w:t>
      </w:r>
      <w:r>
        <w:rPr>
          <w:rFonts w:cstheme="minorHAnsi"/>
        </w:rPr>
        <w:t>,</w:t>
      </w:r>
      <w:r w:rsidRPr="00926F24">
        <w:rPr>
          <w:rFonts w:cstheme="minorHAnsi"/>
        </w:rPr>
        <w:t xml:space="preserve"> ir konstatavus, kad </w:t>
      </w:r>
      <w:r>
        <w:rPr>
          <w:rFonts w:cstheme="minorHAnsi"/>
        </w:rPr>
        <w:t>u</w:t>
      </w:r>
      <w:r w:rsidRPr="00926F24">
        <w:rPr>
          <w:rFonts w:cstheme="minorHAnsi"/>
        </w:rPr>
        <w:t xml:space="preserve">žsienietis neturi pakankamai lėšų ir (ar) negauna reguliarių pajamų, kurių pakanka pragyventi Lietuvos Respublikoje; </w:t>
      </w:r>
      <w:r>
        <w:rPr>
          <w:rFonts w:cstheme="minorHAnsi"/>
        </w:rPr>
        <w:lastRenderedPageBreak/>
        <w:t>nuspręsta u</w:t>
      </w:r>
      <w:r w:rsidRPr="00926F24">
        <w:rPr>
          <w:rFonts w:cstheme="minorHAnsi"/>
        </w:rPr>
        <w:t>žsienietį išsiųsti iš Lietuvos, uždraudžiant atvykti į Lietuvos Respubliką 24</w:t>
      </w:r>
      <w:r w:rsidR="00417584">
        <w:rPr>
          <w:rFonts w:cstheme="minorHAnsi"/>
        </w:rPr>
        <w:t xml:space="preserve"> </w:t>
      </w:r>
      <w:r w:rsidRPr="00926F24">
        <w:rPr>
          <w:rFonts w:cstheme="minorHAnsi"/>
        </w:rPr>
        <w:t>mėnesius nuo išsiuntimo ir įtraukiant perspėjimą dėl</w:t>
      </w:r>
      <w:r>
        <w:rPr>
          <w:rFonts w:cstheme="minorHAnsi"/>
        </w:rPr>
        <w:t xml:space="preserve"> šio</w:t>
      </w:r>
      <w:r w:rsidRPr="00926F24">
        <w:rPr>
          <w:rFonts w:cstheme="minorHAnsi"/>
        </w:rPr>
        <w:t xml:space="preserve"> draudimo į Šengeno informacinę sistemą.</w:t>
      </w:r>
    </w:p>
    <w:p w14:paraId="1F3FFCF3" w14:textId="1B24A677" w:rsidR="00010AE4" w:rsidRDefault="00010AE4" w:rsidP="00010AE4">
      <w:pPr>
        <w:pStyle w:val="NoSpacing"/>
        <w:ind w:firstLine="567"/>
        <w:jc w:val="both"/>
        <w:rPr>
          <w:rFonts w:cstheme="minorHAnsi"/>
        </w:rPr>
      </w:pPr>
      <w:r>
        <w:rPr>
          <w:rFonts w:cstheme="minorHAnsi"/>
        </w:rPr>
        <w:t xml:space="preserve">LVAT pažymėjo, jog </w:t>
      </w:r>
      <w:r w:rsidR="00FE3A0C">
        <w:rPr>
          <w:rFonts w:cstheme="minorHAnsi"/>
        </w:rPr>
        <w:t>šiuo</w:t>
      </w:r>
      <w:r>
        <w:rPr>
          <w:rFonts w:cstheme="minorHAnsi"/>
        </w:rPr>
        <w:t xml:space="preserve"> atveju u</w:t>
      </w:r>
      <w:r w:rsidRPr="00D60B12">
        <w:rPr>
          <w:rFonts w:cstheme="minorHAnsi"/>
        </w:rPr>
        <w:t>žsienietis nesislapstė ir nesiekia slapstytis, byloje n</w:t>
      </w:r>
      <w:r w:rsidR="00FE3A0C">
        <w:rPr>
          <w:rFonts w:cstheme="minorHAnsi"/>
        </w:rPr>
        <w:t>ebuvo</w:t>
      </w:r>
      <w:r w:rsidRPr="00D60B12">
        <w:rPr>
          <w:rFonts w:cstheme="minorHAnsi"/>
        </w:rPr>
        <w:t xml:space="preserve"> įrodymų apie konkretų ir realų </w:t>
      </w:r>
      <w:r>
        <w:rPr>
          <w:rFonts w:cstheme="minorHAnsi"/>
        </w:rPr>
        <w:t>u</w:t>
      </w:r>
      <w:r w:rsidRPr="00D60B12">
        <w:rPr>
          <w:rFonts w:cstheme="minorHAnsi"/>
        </w:rPr>
        <w:t>žsieniečio išsiuntimo proceso vykdymą</w:t>
      </w:r>
      <w:r>
        <w:rPr>
          <w:rFonts w:cstheme="minorHAnsi"/>
        </w:rPr>
        <w:t xml:space="preserve">, </w:t>
      </w:r>
      <w:r w:rsidRPr="00D60B12">
        <w:rPr>
          <w:rFonts w:cstheme="minorHAnsi"/>
        </w:rPr>
        <w:t>Centr</w:t>
      </w:r>
      <w:r>
        <w:rPr>
          <w:rFonts w:cstheme="minorHAnsi"/>
        </w:rPr>
        <w:t>as taip pat</w:t>
      </w:r>
      <w:r w:rsidRPr="00D60B12">
        <w:rPr>
          <w:rFonts w:cstheme="minorHAnsi"/>
        </w:rPr>
        <w:t xml:space="preserve"> </w:t>
      </w:r>
      <w:r>
        <w:rPr>
          <w:rFonts w:cstheme="minorHAnsi"/>
        </w:rPr>
        <w:t>nepateikė</w:t>
      </w:r>
      <w:r w:rsidRPr="00D60B12">
        <w:rPr>
          <w:rFonts w:cstheme="minorHAnsi"/>
        </w:rPr>
        <w:t xml:space="preserve"> duomenų, kad </w:t>
      </w:r>
      <w:r>
        <w:rPr>
          <w:rFonts w:cstheme="minorHAnsi"/>
        </w:rPr>
        <w:t>u</w:t>
      </w:r>
      <w:r w:rsidRPr="00D60B12">
        <w:rPr>
          <w:rFonts w:cstheme="minorHAnsi"/>
        </w:rPr>
        <w:t xml:space="preserve">žsienietis nevykdytų jam pirmosios instancijos teismo sprendimu paskirtos alternatyvios sulaikymui priemonės. </w:t>
      </w:r>
      <w:r>
        <w:rPr>
          <w:rFonts w:cstheme="minorHAnsi"/>
        </w:rPr>
        <w:t>A</w:t>
      </w:r>
      <w:r w:rsidRPr="00D60B12">
        <w:rPr>
          <w:rFonts w:cstheme="minorHAnsi"/>
        </w:rPr>
        <w:t xml:space="preserve">plinkybė, kad </w:t>
      </w:r>
      <w:r>
        <w:rPr>
          <w:rFonts w:cstheme="minorHAnsi"/>
        </w:rPr>
        <w:t>u</w:t>
      </w:r>
      <w:r w:rsidRPr="00D60B12">
        <w:rPr>
          <w:rFonts w:cstheme="minorHAnsi"/>
        </w:rPr>
        <w:t xml:space="preserve">žsienietis buvo baustas už padarytus administracinius nusižengimus Lietuvoje, teisėjų kolegijos vertinimu, nesudaro pakankamo pagrindo taikyti proporcingumo principą kitaip, nei jį taikė pirmosios instancijos teismas. </w:t>
      </w:r>
      <w:r w:rsidRPr="00D60B12">
        <w:rPr>
          <w:rFonts w:cstheme="minorHAnsi"/>
          <w:u w:val="single"/>
        </w:rPr>
        <w:t>Vien aplinkybė, jog užsienietis neįvykdė MD sprendimo savanoriškai išvykti iš Lietuvos, nesant kitų duomenų, leidžiančių pagrįstai įtarti, kad užsienietis gali pasislėpti, siekdamas išvengti išsiuntimo į kilmės valstybę, savaime taip pat nėra pakankama taikyti jam pačią griežčiausią alternatyvią sulaikymui priemonę, apribojant judėjimo laisvę</w:t>
      </w:r>
      <w:r w:rsidRPr="00D60B12">
        <w:rPr>
          <w:rFonts w:cstheme="minorHAnsi"/>
        </w:rPr>
        <w:t>.</w:t>
      </w:r>
      <w:r>
        <w:rPr>
          <w:rFonts w:cstheme="minorHAnsi"/>
        </w:rPr>
        <w:t xml:space="preserve"> </w:t>
      </w:r>
      <w:r w:rsidRPr="00435217">
        <w:rPr>
          <w:rFonts w:cstheme="minorHAnsi"/>
        </w:rPr>
        <w:t>Užsienie</w:t>
      </w:r>
      <w:r>
        <w:rPr>
          <w:rFonts w:cstheme="minorHAnsi"/>
        </w:rPr>
        <w:t>čiui</w:t>
      </w:r>
      <w:r w:rsidRPr="00435217">
        <w:rPr>
          <w:rFonts w:cstheme="minorHAnsi"/>
        </w:rPr>
        <w:t xml:space="preserve"> savo elgesiu </w:t>
      </w:r>
      <w:r>
        <w:rPr>
          <w:rFonts w:cstheme="minorHAnsi"/>
        </w:rPr>
        <w:t>ne</w:t>
      </w:r>
      <w:r w:rsidRPr="00435217">
        <w:rPr>
          <w:rFonts w:cstheme="minorHAnsi"/>
        </w:rPr>
        <w:t>parod</w:t>
      </w:r>
      <w:r>
        <w:rPr>
          <w:rFonts w:cstheme="minorHAnsi"/>
        </w:rPr>
        <w:t>žius</w:t>
      </w:r>
      <w:r w:rsidRPr="00435217">
        <w:rPr>
          <w:rFonts w:cstheme="minorHAnsi"/>
        </w:rPr>
        <w:t xml:space="preserve"> ketinim</w:t>
      </w:r>
      <w:r>
        <w:rPr>
          <w:rFonts w:cstheme="minorHAnsi"/>
        </w:rPr>
        <w:t>ų</w:t>
      </w:r>
      <w:r w:rsidRPr="00435217">
        <w:rPr>
          <w:rFonts w:cstheme="minorHAnsi"/>
        </w:rPr>
        <w:t xml:space="preserve"> išvykti iš Lietuvos Respublikos ar kitaip neteisėtai sutrukdyti Lietuvos Respublikos kompetentingoms institucijoms įgyvendinti jo išsiuntimą iš Lietuvos, pirmosios instancijos teismas pagrįstai ir teisėtai </w:t>
      </w:r>
      <w:r>
        <w:rPr>
          <w:rFonts w:cstheme="minorHAnsi"/>
        </w:rPr>
        <w:t>u</w:t>
      </w:r>
      <w:r w:rsidRPr="00435217">
        <w:rPr>
          <w:rFonts w:cstheme="minorHAnsi"/>
        </w:rPr>
        <w:t xml:space="preserve">žsieniečiui taikė alternatyvią sulaikymui priemonę – įpareigojimą elektroninių ryšių priemonėmis kiekvieną trečiadienį nuo 8.00 val. iki 17.00 val. pranešti </w:t>
      </w:r>
      <w:r>
        <w:rPr>
          <w:rFonts w:cstheme="minorHAnsi"/>
        </w:rPr>
        <w:t>C</w:t>
      </w:r>
      <w:r w:rsidRPr="00435217">
        <w:rPr>
          <w:rFonts w:cstheme="minorHAnsi"/>
        </w:rPr>
        <w:t>entrui apie savo buvimo vietą</w:t>
      </w:r>
      <w:r>
        <w:rPr>
          <w:rFonts w:cstheme="minorHAnsi"/>
        </w:rPr>
        <w:t xml:space="preserve">. </w:t>
      </w:r>
      <w:r w:rsidRPr="00435217">
        <w:rPr>
          <w:rFonts w:cstheme="minorHAnsi"/>
        </w:rPr>
        <w:t>Ši priemonė nagrinė</w:t>
      </w:r>
      <w:r w:rsidR="00FE3A0C">
        <w:rPr>
          <w:rFonts w:cstheme="minorHAnsi"/>
        </w:rPr>
        <w:t>t</w:t>
      </w:r>
      <w:r w:rsidRPr="00435217">
        <w:rPr>
          <w:rFonts w:cstheme="minorHAnsi"/>
        </w:rPr>
        <w:t xml:space="preserve">u atveju, atsižvelgiant į byloje nustatytas faktines aplinkybes ir esančius įrodymus, kvalifikuota kaip proporcinga jos taikymo tikslui, t. y. užtikrinti </w:t>
      </w:r>
      <w:r>
        <w:rPr>
          <w:rFonts w:cstheme="minorHAnsi"/>
        </w:rPr>
        <w:t>u</w:t>
      </w:r>
      <w:r w:rsidRPr="00435217">
        <w:rPr>
          <w:rFonts w:cstheme="minorHAnsi"/>
        </w:rPr>
        <w:t>žsieniečio išsiuntimą iš Lietuvos Respublikos.</w:t>
      </w:r>
    </w:p>
    <w:p w14:paraId="74D7C480" w14:textId="23371102" w:rsidR="00010AE4" w:rsidRDefault="00010AE4" w:rsidP="00010AE4">
      <w:pPr>
        <w:pStyle w:val="NoSpacing"/>
        <w:ind w:firstLine="567"/>
        <w:jc w:val="both"/>
        <w:rPr>
          <w:rFonts w:cstheme="minorHAnsi"/>
        </w:rPr>
      </w:pPr>
      <w:r>
        <w:rPr>
          <w:rFonts w:cstheme="minorHAnsi"/>
        </w:rPr>
        <w:t>LVAT atmetė Centro apeliacinį skundą.</w:t>
      </w:r>
    </w:p>
    <w:p w14:paraId="149A549E" w14:textId="77777777" w:rsidR="00010AE4" w:rsidRDefault="00010AE4" w:rsidP="00010AE4">
      <w:pPr>
        <w:pStyle w:val="NoSpacing"/>
        <w:jc w:val="both"/>
        <w:rPr>
          <w:rFonts w:cstheme="minorHAnsi"/>
        </w:rPr>
      </w:pPr>
    </w:p>
    <w:p w14:paraId="7FACFD72" w14:textId="77777777" w:rsidR="00010AE4" w:rsidRPr="00E81924" w:rsidRDefault="00010AE4" w:rsidP="00010AE4">
      <w:pPr>
        <w:pStyle w:val="NoSpacing"/>
        <w:jc w:val="both"/>
        <w:rPr>
          <w:rFonts w:cstheme="minorHAnsi"/>
        </w:rPr>
      </w:pPr>
      <w:r w:rsidRPr="00A16236">
        <w:rPr>
          <w:rFonts w:cstheme="minorHAnsi"/>
        </w:rPr>
        <w:t xml:space="preserve">2024 m. </w:t>
      </w:r>
      <w:r>
        <w:rPr>
          <w:rFonts w:cstheme="minorHAnsi"/>
        </w:rPr>
        <w:t>lapkričio 21</w:t>
      </w:r>
      <w:r w:rsidRPr="00A16236">
        <w:rPr>
          <w:rFonts w:cstheme="minorHAnsi"/>
        </w:rPr>
        <w:t xml:space="preserve"> d.</w:t>
      </w:r>
      <w:r>
        <w:rPr>
          <w:rFonts w:cstheme="minorHAnsi"/>
        </w:rPr>
        <w:t xml:space="preserve"> nutartis </w:t>
      </w:r>
      <w:r w:rsidRPr="00E81924">
        <w:rPr>
          <w:rFonts w:cstheme="minorHAnsi"/>
        </w:rPr>
        <w:t xml:space="preserve">administracinėje byloje Nr. </w:t>
      </w:r>
      <w:r w:rsidRPr="002077E2">
        <w:rPr>
          <w:rFonts w:cstheme="minorHAnsi"/>
        </w:rPr>
        <w:t>A-2637-1188/2024</w:t>
      </w:r>
    </w:p>
    <w:p w14:paraId="2A840CA1" w14:textId="77777777" w:rsidR="00010AE4" w:rsidRPr="00E81924" w:rsidRDefault="00010AE4" w:rsidP="00010AE4">
      <w:pPr>
        <w:pStyle w:val="NoSpacing"/>
        <w:jc w:val="both"/>
        <w:rPr>
          <w:rFonts w:cstheme="minorHAnsi"/>
        </w:rPr>
      </w:pPr>
      <w:r w:rsidRPr="00E81924">
        <w:rPr>
          <w:rFonts w:cstheme="minorHAnsi"/>
        </w:rPr>
        <w:t xml:space="preserve">Teisminio proceso Nr. </w:t>
      </w:r>
      <w:r w:rsidRPr="002077E2">
        <w:rPr>
          <w:rFonts w:cstheme="minorHAnsi"/>
        </w:rPr>
        <w:t>4-45-3-00394-2024-0</w:t>
      </w:r>
    </w:p>
    <w:p w14:paraId="26E54D0A" w14:textId="77777777" w:rsidR="00010AE4" w:rsidRDefault="00010AE4" w:rsidP="00010AE4">
      <w:pPr>
        <w:pStyle w:val="NoSpacing"/>
        <w:jc w:val="both"/>
        <w:rPr>
          <w:rFonts w:cstheme="minorHAnsi"/>
        </w:rPr>
      </w:pPr>
      <w:hyperlink r:id="rId16" w:history="1">
        <w:r w:rsidRPr="001420AC">
          <w:rPr>
            <w:rStyle w:val="Hyperlink"/>
            <w:rFonts w:cstheme="minorHAnsi"/>
          </w:rPr>
          <w:t>Prieiga internete</w:t>
        </w:r>
      </w:hyperlink>
    </w:p>
    <w:p w14:paraId="45C93639" w14:textId="77777777" w:rsidR="00010AE4" w:rsidRDefault="00010AE4" w:rsidP="00010AE4">
      <w:pPr>
        <w:pStyle w:val="NoSpacing"/>
        <w:ind w:firstLine="567"/>
        <w:jc w:val="both"/>
        <w:rPr>
          <w:rFonts w:cstheme="minorHAnsi"/>
        </w:rPr>
      </w:pPr>
    </w:p>
    <w:p w14:paraId="53320E62" w14:textId="77777777" w:rsidR="00010AE4" w:rsidRPr="00073A33" w:rsidRDefault="00010AE4" w:rsidP="00010AE4">
      <w:pPr>
        <w:pStyle w:val="NoSpacing"/>
        <w:ind w:firstLine="567"/>
        <w:jc w:val="both"/>
        <w:rPr>
          <w:rFonts w:cstheme="minorHAnsi"/>
          <w:b/>
          <w:bCs/>
          <w:u w:val="single"/>
        </w:rPr>
      </w:pPr>
      <w:r w:rsidRPr="00073A33">
        <w:rPr>
          <w:rFonts w:cstheme="minorHAnsi"/>
          <w:b/>
          <w:bCs/>
          <w:u w:val="single"/>
        </w:rPr>
        <w:t>8.6. Užsieniečių išvykimas iš Lietuvos Respublikos</w:t>
      </w:r>
    </w:p>
    <w:p w14:paraId="425EB219" w14:textId="77777777" w:rsidR="00010AE4" w:rsidRPr="00073A33" w:rsidRDefault="00010AE4" w:rsidP="00010AE4">
      <w:pPr>
        <w:pStyle w:val="NoSpacing"/>
        <w:ind w:firstLine="1134"/>
        <w:jc w:val="both"/>
        <w:rPr>
          <w:rFonts w:cstheme="minorHAnsi"/>
          <w:b/>
          <w:bCs/>
          <w:u w:val="single"/>
        </w:rPr>
      </w:pPr>
      <w:r w:rsidRPr="00073A33">
        <w:rPr>
          <w:rFonts w:cstheme="minorHAnsi"/>
          <w:b/>
          <w:bCs/>
          <w:u w:val="single"/>
        </w:rPr>
        <w:t>8.6.4. Draudimas atvykti</w:t>
      </w:r>
    </w:p>
    <w:p w14:paraId="45E34385" w14:textId="77777777" w:rsidR="00010AE4" w:rsidRDefault="00010AE4" w:rsidP="00010AE4">
      <w:pPr>
        <w:pStyle w:val="NoSpacing"/>
        <w:ind w:firstLine="1134"/>
        <w:jc w:val="both"/>
        <w:rPr>
          <w:rFonts w:cstheme="minorHAnsi"/>
        </w:rPr>
      </w:pPr>
    </w:p>
    <w:p w14:paraId="3AA2285F" w14:textId="60AC385D" w:rsidR="00010AE4" w:rsidRPr="00010AE4" w:rsidRDefault="00010AE4" w:rsidP="00010AE4">
      <w:pPr>
        <w:jc w:val="both"/>
        <w:outlineLvl w:val="1"/>
        <w:rPr>
          <w:rFonts w:asciiTheme="minorHAnsi" w:eastAsia="Calibri" w:hAnsiTheme="minorHAnsi" w:cstheme="minorHAnsi"/>
          <w:i/>
          <w:sz w:val="22"/>
          <w:szCs w:val="22"/>
        </w:rPr>
      </w:pPr>
      <w:bookmarkStart w:id="24" w:name="_Toc187075137"/>
      <w:r w:rsidRPr="00010AE4">
        <w:rPr>
          <w:rFonts w:asciiTheme="minorHAnsi" w:eastAsia="Calibri" w:hAnsiTheme="minorHAnsi" w:cstheme="minorHAnsi"/>
          <w:i/>
          <w:sz w:val="22"/>
          <w:szCs w:val="22"/>
        </w:rPr>
        <w:t xml:space="preserve">Dėl </w:t>
      </w:r>
      <w:r w:rsidR="00462514">
        <w:rPr>
          <w:rFonts w:asciiTheme="minorHAnsi" w:eastAsia="Calibri" w:hAnsiTheme="minorHAnsi" w:cstheme="minorHAnsi"/>
          <w:i/>
          <w:sz w:val="22"/>
          <w:szCs w:val="22"/>
        </w:rPr>
        <w:t>užsieniečio ne</w:t>
      </w:r>
      <w:r w:rsidRPr="00010AE4">
        <w:rPr>
          <w:rFonts w:asciiTheme="minorHAnsi" w:eastAsia="Calibri" w:hAnsiTheme="minorHAnsi" w:cstheme="minorHAnsi"/>
          <w:i/>
          <w:sz w:val="22"/>
          <w:szCs w:val="22"/>
        </w:rPr>
        <w:t>piktnaudžiavimo migracijos procedūromis</w:t>
      </w:r>
      <w:r w:rsidR="00A77F34">
        <w:rPr>
          <w:rFonts w:asciiTheme="minorHAnsi" w:eastAsia="Calibri" w:hAnsiTheme="minorHAnsi" w:cstheme="minorHAnsi"/>
          <w:i/>
          <w:sz w:val="22"/>
          <w:szCs w:val="22"/>
        </w:rPr>
        <w:t>,</w:t>
      </w:r>
      <w:r w:rsidR="00A77F34" w:rsidRPr="00A77F34">
        <w:rPr>
          <w:rFonts w:asciiTheme="minorHAnsi" w:eastAsia="Calibri" w:hAnsiTheme="minorHAnsi" w:cstheme="minorHAnsi"/>
          <w:i/>
          <w:sz w:val="22"/>
          <w:szCs w:val="22"/>
        </w:rPr>
        <w:t xml:space="preserve"> darbdaviui atsisakius </w:t>
      </w:r>
      <w:r w:rsidR="00462514">
        <w:rPr>
          <w:rFonts w:asciiTheme="minorHAnsi" w:eastAsia="Calibri" w:hAnsiTheme="minorHAnsi" w:cstheme="minorHAnsi"/>
          <w:i/>
          <w:sz w:val="22"/>
          <w:szCs w:val="22"/>
        </w:rPr>
        <w:t>jį</w:t>
      </w:r>
      <w:r w:rsidR="00A77F34" w:rsidRPr="00A77F34">
        <w:rPr>
          <w:rFonts w:asciiTheme="minorHAnsi" w:eastAsia="Calibri" w:hAnsiTheme="minorHAnsi" w:cstheme="minorHAnsi"/>
          <w:i/>
          <w:sz w:val="22"/>
          <w:szCs w:val="22"/>
        </w:rPr>
        <w:t xml:space="preserve"> įdarbinti</w:t>
      </w:r>
      <w:bookmarkEnd w:id="24"/>
    </w:p>
    <w:p w14:paraId="79F3A34B" w14:textId="77777777" w:rsidR="00010AE4" w:rsidRDefault="00010AE4" w:rsidP="00010AE4">
      <w:pPr>
        <w:pStyle w:val="NoSpacing"/>
        <w:jc w:val="both"/>
        <w:rPr>
          <w:rFonts w:cstheme="minorHAnsi"/>
        </w:rPr>
      </w:pPr>
    </w:p>
    <w:p w14:paraId="12CC6BD6" w14:textId="1EC11C22" w:rsidR="00010AE4" w:rsidRPr="00CC5B05" w:rsidRDefault="00010AE4" w:rsidP="00010AE4">
      <w:pPr>
        <w:pStyle w:val="NoSpacing"/>
        <w:ind w:firstLine="567"/>
        <w:jc w:val="both"/>
        <w:rPr>
          <w:rFonts w:cstheme="minorHAnsi"/>
        </w:rPr>
      </w:pPr>
      <w:r w:rsidRPr="00CC5B05">
        <w:rPr>
          <w:rFonts w:cstheme="minorHAnsi"/>
        </w:rPr>
        <w:t>Byloje nagrinėtas ginčas, kilęs dėl MD sprendimo, kuriuo nuspręsta uždrausti pareiškėjui atvykti į Lietuvos Respubliką nuo sprendimo priėmimo dienos 36 mėnesius bei įtraukti į Šengeno informacinę sistemą perspėjimą dėl draudimo atvykti ir apsigyventi nuo sprendimo priėmimo dienos 36 mėnesius, pagrįstumo ir teisėtumo.</w:t>
      </w:r>
    </w:p>
    <w:p w14:paraId="4751A052" w14:textId="7CED893C" w:rsidR="00010AE4" w:rsidRPr="00A77F34" w:rsidRDefault="00010AE4" w:rsidP="00010AE4">
      <w:pPr>
        <w:pStyle w:val="NoSpacing"/>
        <w:ind w:firstLine="567"/>
        <w:jc w:val="both"/>
        <w:rPr>
          <w:rFonts w:cstheme="minorHAnsi"/>
        </w:rPr>
      </w:pPr>
      <w:r w:rsidRPr="00CC5B05">
        <w:rPr>
          <w:rFonts w:cstheme="minorHAnsi"/>
        </w:rPr>
        <w:t xml:space="preserve">Pirmosios instancijos teismas atmetė pareiškėjo skundą, </w:t>
      </w:r>
      <w:r>
        <w:rPr>
          <w:rFonts w:cstheme="minorHAnsi"/>
        </w:rPr>
        <w:t>konstatavęs, kad</w:t>
      </w:r>
      <w:r w:rsidR="00F47CA2">
        <w:rPr>
          <w:rFonts w:cstheme="minorHAnsi"/>
        </w:rPr>
        <w:t>,</w:t>
      </w:r>
      <w:r>
        <w:rPr>
          <w:rFonts w:cstheme="minorHAnsi"/>
        </w:rPr>
        <w:t xml:space="preserve"> </w:t>
      </w:r>
      <w:r w:rsidRPr="00CC5B05">
        <w:rPr>
          <w:rFonts w:cstheme="minorHAnsi"/>
        </w:rPr>
        <w:t>siekdamas įgyvendinti draudimo atvykti tikslus bei išvengti piktnaudži</w:t>
      </w:r>
      <w:r>
        <w:rPr>
          <w:rFonts w:cstheme="minorHAnsi"/>
        </w:rPr>
        <w:t>avimo</w:t>
      </w:r>
      <w:r w:rsidRPr="00CC5B05">
        <w:rPr>
          <w:rFonts w:cstheme="minorHAnsi"/>
        </w:rPr>
        <w:t xml:space="preserve"> analogiškais </w:t>
      </w:r>
      <w:r w:rsidRPr="00A77F34">
        <w:rPr>
          <w:rFonts w:cstheme="minorHAnsi"/>
        </w:rPr>
        <w:t>veiksmais ateityje, MD pareiškėjui taikė proporcingą priemonę.</w:t>
      </w:r>
    </w:p>
    <w:p w14:paraId="218050BE" w14:textId="63A8638F" w:rsidR="00010AE4" w:rsidRDefault="6B4D634B" w:rsidP="6B4D634B">
      <w:pPr>
        <w:pStyle w:val="NoSpacing"/>
        <w:ind w:firstLine="567"/>
        <w:jc w:val="both"/>
        <w:rPr>
          <w:rFonts w:cstheme="minorBidi"/>
        </w:rPr>
      </w:pPr>
      <w:r w:rsidRPr="00A77F34">
        <w:rPr>
          <w:rFonts w:cstheme="minorBidi"/>
        </w:rPr>
        <w:t>LVAT teisėjų kolegijos vertinimu, iš MD</w:t>
      </w:r>
      <w:r w:rsidRPr="00A77F34">
        <w:t xml:space="preserve"> </w:t>
      </w:r>
      <w:r w:rsidRPr="00A77F34">
        <w:rPr>
          <w:rFonts w:cstheme="minorBidi"/>
        </w:rPr>
        <w:t>nurodytų aplinkybių, kad užsienietis nesudarė darbo sutarties, nes jis neatvyko dirbti, neatvyko į Lietuvą, nedeklaravo gyvenamosios vietos, negalima daryti išvados, kad jis piktnaudžiavo migracijos procedūromis. Užsienietis dėl to pateikė racionalius paaiškinimus (</w:t>
      </w:r>
      <w:bookmarkStart w:id="25" w:name="_Hlk186473720"/>
      <w:r w:rsidRPr="00A77F34">
        <w:rPr>
          <w:rFonts w:cstheme="minorBidi"/>
        </w:rPr>
        <w:t>darbdavys atsisakė</w:t>
      </w:r>
      <w:r w:rsidRPr="6B4D634B">
        <w:rPr>
          <w:rFonts w:cstheme="minorBidi"/>
        </w:rPr>
        <w:t xml:space="preserve"> jį įdarbinti</w:t>
      </w:r>
      <w:bookmarkEnd w:id="25"/>
      <w:r w:rsidRPr="6B4D634B">
        <w:rPr>
          <w:rFonts w:cstheme="minorBidi"/>
        </w:rPr>
        <w:t xml:space="preserve">), kuriais abejoti nebuvo pakankamo pagrindo. </w:t>
      </w:r>
      <w:r w:rsidRPr="00A77F34">
        <w:rPr>
          <w:rFonts w:cstheme="minorBidi"/>
        </w:rPr>
        <w:t>Draudimas atvykti į Lietuvos Respubliką turėtų būti nustatomas, kai užsienietis nesąžiningais veiksmais piktnaudžiavo migracijos procedūromis</w:t>
      </w:r>
      <w:r w:rsidRPr="6B4D634B">
        <w:rPr>
          <w:rFonts w:cstheme="minorBidi"/>
        </w:rPr>
        <w:t>. Nagrinėtoje byloje nesant tokių įrodymų, MD įgyvendindamas savo diskreciją padarė aiškią (aplinkybių vertinimo ir teisės taikymo) klaidą, priimtas sprendimas nėra proporcingas, t. y. atsakovas akivaizdžiai peržengė diskrecijos ribas. Ginčytame sprendime taip pat nebuvo motyvų dėl į Šengeno informacinę sistemą įvesto perspėjimo proporcingumo, pagrįsto individualiu pareiškėjo vertinimu, apimančiu trečiosios šalies piliečio asmeninių aplinkybių vertinimą bei draudimo atvykti ir apsigyventi padarinius.</w:t>
      </w:r>
    </w:p>
    <w:p w14:paraId="52A65287" w14:textId="6092BB3A" w:rsidR="00010AE4" w:rsidRDefault="00010AE4" w:rsidP="00010AE4">
      <w:pPr>
        <w:pStyle w:val="NoSpacing"/>
        <w:ind w:firstLine="567"/>
        <w:jc w:val="both"/>
        <w:rPr>
          <w:rFonts w:cstheme="minorHAnsi"/>
        </w:rPr>
      </w:pPr>
      <w:r>
        <w:rPr>
          <w:rFonts w:cstheme="minorHAnsi"/>
        </w:rPr>
        <w:t xml:space="preserve">LVAT tenkino pareiškėjo apeliacinį skundą – panaikino pirmosios instancijos teismo sprendimą ir priėmė naują sprendimą, kuriuo panaikino </w:t>
      </w:r>
      <w:r w:rsidR="00F47CA2">
        <w:rPr>
          <w:rFonts w:cstheme="minorHAnsi"/>
        </w:rPr>
        <w:t>ginčyt</w:t>
      </w:r>
      <w:r>
        <w:rPr>
          <w:rFonts w:cstheme="minorHAnsi"/>
        </w:rPr>
        <w:t>ą MD sprendimą.</w:t>
      </w:r>
    </w:p>
    <w:p w14:paraId="51B8E626" w14:textId="77777777" w:rsidR="00010AE4" w:rsidRDefault="00010AE4" w:rsidP="00010AE4">
      <w:pPr>
        <w:pStyle w:val="NoSpacing"/>
        <w:jc w:val="both"/>
        <w:rPr>
          <w:rFonts w:cstheme="minorHAnsi"/>
        </w:rPr>
      </w:pPr>
    </w:p>
    <w:p w14:paraId="3D62293B" w14:textId="77777777" w:rsidR="00010AE4" w:rsidRPr="00E81924" w:rsidRDefault="00010AE4" w:rsidP="00010AE4">
      <w:pPr>
        <w:pStyle w:val="NoSpacing"/>
        <w:jc w:val="both"/>
        <w:rPr>
          <w:rFonts w:cstheme="minorHAnsi"/>
        </w:rPr>
      </w:pPr>
      <w:r w:rsidRPr="00A16236">
        <w:rPr>
          <w:rFonts w:cstheme="minorHAnsi"/>
        </w:rPr>
        <w:t xml:space="preserve">2024 m. </w:t>
      </w:r>
      <w:r>
        <w:rPr>
          <w:rFonts w:cstheme="minorHAnsi"/>
        </w:rPr>
        <w:t>lapkričio 6</w:t>
      </w:r>
      <w:r w:rsidRPr="00A16236">
        <w:rPr>
          <w:rFonts w:cstheme="minorHAnsi"/>
        </w:rPr>
        <w:t xml:space="preserve"> d.</w:t>
      </w:r>
      <w:r>
        <w:rPr>
          <w:rFonts w:cstheme="minorHAnsi"/>
        </w:rPr>
        <w:t xml:space="preserve"> sprendimas </w:t>
      </w:r>
      <w:r w:rsidRPr="00E81924">
        <w:rPr>
          <w:rFonts w:cstheme="minorHAnsi"/>
        </w:rPr>
        <w:t xml:space="preserve">administracinėje byloje Nr. </w:t>
      </w:r>
      <w:r w:rsidRPr="00EE1DF5">
        <w:rPr>
          <w:rFonts w:cstheme="minorHAnsi"/>
        </w:rPr>
        <w:t>eA-2378-575/2024</w:t>
      </w:r>
    </w:p>
    <w:p w14:paraId="79D485B6" w14:textId="77777777" w:rsidR="00010AE4" w:rsidRPr="00E81924" w:rsidRDefault="00010AE4" w:rsidP="00010AE4">
      <w:pPr>
        <w:pStyle w:val="NoSpacing"/>
        <w:jc w:val="both"/>
        <w:rPr>
          <w:rFonts w:cstheme="minorHAnsi"/>
        </w:rPr>
      </w:pPr>
      <w:r w:rsidRPr="00E81924">
        <w:rPr>
          <w:rFonts w:cstheme="minorHAnsi"/>
        </w:rPr>
        <w:t xml:space="preserve">Teisminio proceso Nr. </w:t>
      </w:r>
      <w:r w:rsidRPr="00EE1DF5">
        <w:rPr>
          <w:rFonts w:cstheme="minorHAnsi"/>
        </w:rPr>
        <w:t>3-61-3-02580-2024-6</w:t>
      </w:r>
    </w:p>
    <w:p w14:paraId="691A89AE" w14:textId="77777777" w:rsidR="00010AE4" w:rsidRDefault="00010AE4" w:rsidP="00010AE4">
      <w:pPr>
        <w:pStyle w:val="NoSpacing"/>
        <w:jc w:val="both"/>
        <w:rPr>
          <w:rFonts w:cstheme="minorHAnsi"/>
        </w:rPr>
      </w:pPr>
      <w:hyperlink r:id="rId17" w:history="1">
        <w:r w:rsidRPr="001420AC">
          <w:rPr>
            <w:rStyle w:val="Hyperlink"/>
            <w:rFonts w:cstheme="minorHAnsi"/>
          </w:rPr>
          <w:t>Prieiga internete</w:t>
        </w:r>
      </w:hyperlink>
    </w:p>
    <w:p w14:paraId="3A20CE13" w14:textId="0690CFF2" w:rsidR="00010AE4" w:rsidRDefault="00010AE4" w:rsidP="00010AE4">
      <w:pPr>
        <w:pStyle w:val="NoSpacing"/>
        <w:jc w:val="both"/>
        <w:rPr>
          <w:rFonts w:cstheme="minorHAnsi"/>
        </w:rPr>
      </w:pPr>
    </w:p>
    <w:p w14:paraId="79545AE2" w14:textId="77777777" w:rsidR="00D57BAE" w:rsidRPr="00D57BAE" w:rsidRDefault="00D57BAE" w:rsidP="00D57BAE">
      <w:pPr>
        <w:pStyle w:val="Apzvalgai1"/>
        <w:rPr>
          <w:rFonts w:asciiTheme="minorHAnsi" w:hAnsiTheme="minorHAnsi" w:cstheme="minorHAnsi"/>
        </w:rPr>
      </w:pPr>
      <w:bookmarkStart w:id="26" w:name="_Toc187075138"/>
      <w:r w:rsidRPr="00D57BAE">
        <w:rPr>
          <w:rFonts w:asciiTheme="minorHAnsi" w:hAnsiTheme="minorHAnsi" w:cstheme="minorHAnsi"/>
        </w:rPr>
        <w:t>9. Prieglobstis</w:t>
      </w:r>
      <w:bookmarkEnd w:id="26"/>
    </w:p>
    <w:p w14:paraId="0075E115" w14:textId="77777777" w:rsidR="000B1563" w:rsidRPr="00BC150A" w:rsidRDefault="000B1563" w:rsidP="000B1563">
      <w:pPr>
        <w:pStyle w:val="NoSpacing"/>
        <w:ind w:firstLine="567"/>
        <w:jc w:val="both"/>
        <w:rPr>
          <w:rFonts w:cstheme="minorHAnsi"/>
          <w:b/>
          <w:bCs/>
          <w:u w:val="single"/>
        </w:rPr>
      </w:pPr>
      <w:r w:rsidRPr="00BC150A">
        <w:rPr>
          <w:rFonts w:cstheme="minorHAnsi"/>
          <w:b/>
          <w:bCs/>
          <w:u w:val="single"/>
        </w:rPr>
        <w:t>9.1. Prieglobsčio prašymo pateikimas ir jo nagrinėjimas</w:t>
      </w:r>
    </w:p>
    <w:p w14:paraId="45489222" w14:textId="77777777" w:rsidR="000B1563" w:rsidRDefault="000B1563" w:rsidP="000B1563">
      <w:pPr>
        <w:pStyle w:val="NoSpacing"/>
        <w:ind w:firstLine="567"/>
        <w:jc w:val="both"/>
        <w:rPr>
          <w:rFonts w:cstheme="minorHAnsi"/>
        </w:rPr>
      </w:pPr>
    </w:p>
    <w:p w14:paraId="0C1B0257" w14:textId="77777777" w:rsidR="000B1563" w:rsidRPr="000B1563" w:rsidRDefault="000B1563" w:rsidP="000B1563">
      <w:pPr>
        <w:jc w:val="both"/>
        <w:outlineLvl w:val="1"/>
        <w:rPr>
          <w:rFonts w:asciiTheme="minorHAnsi" w:eastAsia="Calibri" w:hAnsiTheme="minorHAnsi" w:cstheme="minorHAnsi"/>
          <w:i/>
          <w:sz w:val="22"/>
          <w:szCs w:val="22"/>
        </w:rPr>
      </w:pPr>
      <w:bookmarkStart w:id="27" w:name="_Toc187075139"/>
      <w:r w:rsidRPr="000B1563">
        <w:rPr>
          <w:rFonts w:asciiTheme="minorHAnsi" w:eastAsia="Calibri" w:hAnsiTheme="minorHAnsi" w:cstheme="minorHAnsi"/>
          <w:i/>
          <w:sz w:val="22"/>
          <w:szCs w:val="22"/>
        </w:rPr>
        <w:lastRenderedPageBreak/>
        <w:t>Dėl Dublino reglamente įtvirtintos diskrecinės išlygos taikymo</w:t>
      </w:r>
      <w:bookmarkEnd w:id="27"/>
    </w:p>
    <w:p w14:paraId="03357656" w14:textId="77777777" w:rsidR="000B1563" w:rsidRDefault="000B1563" w:rsidP="000B1563">
      <w:pPr>
        <w:pStyle w:val="NoSpacing"/>
        <w:jc w:val="both"/>
        <w:rPr>
          <w:rFonts w:cstheme="minorHAnsi"/>
        </w:rPr>
      </w:pPr>
    </w:p>
    <w:p w14:paraId="35097398" w14:textId="79D47DBE" w:rsidR="000B1563" w:rsidRPr="00CC5B05" w:rsidRDefault="000B1563" w:rsidP="000B1563">
      <w:pPr>
        <w:pStyle w:val="NoSpacing"/>
        <w:ind w:firstLine="567"/>
        <w:jc w:val="both"/>
        <w:rPr>
          <w:rFonts w:cstheme="minorHAnsi"/>
        </w:rPr>
      </w:pPr>
      <w:r w:rsidRPr="00CC5B05">
        <w:rPr>
          <w:rFonts w:cstheme="minorHAnsi"/>
        </w:rPr>
        <w:t>Byloje nagrinėtas ginčas, kilęs dėl MD sprendimo</w:t>
      </w:r>
      <w:r>
        <w:rPr>
          <w:rFonts w:cstheme="minorHAnsi"/>
        </w:rPr>
        <w:t xml:space="preserve">, </w:t>
      </w:r>
      <w:r w:rsidRPr="00DB5FDA">
        <w:rPr>
          <w:rFonts w:cstheme="minorHAnsi"/>
        </w:rPr>
        <w:t xml:space="preserve">kuriuo nuspręsta perduoti </w:t>
      </w:r>
      <w:r>
        <w:rPr>
          <w:rFonts w:cstheme="minorHAnsi"/>
        </w:rPr>
        <w:t>pareiškėją (prieglobsčio prašytoją)</w:t>
      </w:r>
      <w:r w:rsidRPr="00DB5FDA">
        <w:rPr>
          <w:rFonts w:cstheme="minorHAnsi"/>
        </w:rPr>
        <w:t xml:space="preserve"> Lenkijos Respublikai</w:t>
      </w:r>
      <w:r w:rsidRPr="00CC5B05">
        <w:rPr>
          <w:rFonts w:cstheme="minorHAnsi"/>
        </w:rPr>
        <w:t>, pagrįstumo ir teisėtumo.</w:t>
      </w:r>
    </w:p>
    <w:p w14:paraId="46A46A75" w14:textId="693C1F45" w:rsidR="000B1563" w:rsidRDefault="000B1563" w:rsidP="000B1563">
      <w:pPr>
        <w:pStyle w:val="NoSpacing"/>
        <w:ind w:firstLine="567"/>
        <w:jc w:val="both"/>
        <w:rPr>
          <w:rFonts w:cstheme="minorHAnsi"/>
        </w:rPr>
      </w:pPr>
      <w:r w:rsidRPr="00CC5B05">
        <w:rPr>
          <w:rFonts w:cstheme="minorHAnsi"/>
        </w:rPr>
        <w:t xml:space="preserve">Pirmosios instancijos teismas atmetė pareiškėjo skundą, </w:t>
      </w:r>
      <w:r>
        <w:rPr>
          <w:rFonts w:cstheme="minorHAnsi"/>
        </w:rPr>
        <w:t xml:space="preserve">nustatęs, kad </w:t>
      </w:r>
      <w:r w:rsidRPr="00303182">
        <w:rPr>
          <w:rFonts w:cstheme="minorHAnsi"/>
        </w:rPr>
        <w:t>pareiškėjui abiejų (Lietuvos ir Lenkijos) leidimų laikinai gyventi galiojimo laikas yra pasibaigęs mažiau kaip prieš dvejus metus, atsakomybę už tarptautinės apsaugos prašymo nagrinėjimą prisiėmė valstybė narė, kuri išdavė teisę gyventi šalyje patvirtinantį dokumentą, suteikusį teisę būti šalyje ilgiausią laikotarpį, t. y. Lenkija</w:t>
      </w:r>
      <w:r>
        <w:rPr>
          <w:rFonts w:cstheme="minorHAnsi"/>
        </w:rPr>
        <w:t>. Kitos ES</w:t>
      </w:r>
      <w:r w:rsidRPr="00B84E19">
        <w:rPr>
          <w:rFonts w:cstheme="minorHAnsi"/>
        </w:rPr>
        <w:t xml:space="preserve"> valstybės narės turi teisę, bet ne pareigą nuspręsti nagrinėti prieglobsčio prašymą tuo atveju, jei nustatoma, kad už prieglobsčio prašymo nagrinėjimą yra atsakinga kita </w:t>
      </w:r>
      <w:r>
        <w:rPr>
          <w:rFonts w:cstheme="minorHAnsi"/>
        </w:rPr>
        <w:t>ES</w:t>
      </w:r>
      <w:r w:rsidRPr="00B84E19">
        <w:rPr>
          <w:rFonts w:cstheme="minorHAnsi"/>
        </w:rPr>
        <w:t xml:space="preserve"> valstybė narė.</w:t>
      </w:r>
    </w:p>
    <w:p w14:paraId="2C94EBFD" w14:textId="59D34371" w:rsidR="000B1563" w:rsidRDefault="000B1563" w:rsidP="000B1563">
      <w:pPr>
        <w:pStyle w:val="NoSpacing"/>
        <w:ind w:firstLine="567"/>
        <w:jc w:val="both"/>
        <w:rPr>
          <w:rFonts w:cstheme="minorHAnsi"/>
        </w:rPr>
      </w:pPr>
      <w:r>
        <w:rPr>
          <w:rFonts w:cstheme="minorHAnsi"/>
        </w:rPr>
        <w:t xml:space="preserve">Sutikdamas su pirmosios instancijos teismo išvadomis, LVAT papildomai pažymėjo, jog </w:t>
      </w:r>
      <w:r w:rsidRPr="0078215A">
        <w:rPr>
          <w:rFonts w:cstheme="minorHAnsi"/>
        </w:rPr>
        <w:t>Dublino reglamento</w:t>
      </w:r>
      <w:r>
        <w:rPr>
          <w:rStyle w:val="FootnoteReference"/>
          <w:rFonts w:cstheme="minorHAnsi"/>
        </w:rPr>
        <w:footnoteReference w:id="4"/>
      </w:r>
      <w:r w:rsidRPr="0078215A">
        <w:rPr>
          <w:rFonts w:cstheme="minorHAnsi"/>
        </w:rPr>
        <w:t xml:space="preserve"> 17</w:t>
      </w:r>
      <w:r w:rsidR="00F32094">
        <w:rPr>
          <w:rFonts w:cstheme="minorHAnsi"/>
        </w:rPr>
        <w:t xml:space="preserve"> </w:t>
      </w:r>
      <w:r w:rsidRPr="0078215A">
        <w:rPr>
          <w:rFonts w:cstheme="minorHAnsi"/>
        </w:rPr>
        <w:t>straipsnio 1 dalyje yra įtvirtinta diskrecinė išlyga, numatanti, kad kiekviena valstybė narė nukrypdama nuo 3 straipsnio 1 dalies gali nuspręsti nagrinėti trečiosios šalies piliečio arba asmens be pilietybės jai pateiktą tarptautinės apsaugos prašymą net tada, kai ji pagal šiame reglamente nustatytus kriterijus neatsako už tokį nagrinėjimą.</w:t>
      </w:r>
      <w:r w:rsidRPr="008700F0">
        <w:t xml:space="preserve"> </w:t>
      </w:r>
      <w:r>
        <w:rPr>
          <w:rFonts w:cstheme="minorHAnsi"/>
        </w:rPr>
        <w:t>MD</w:t>
      </w:r>
      <w:r w:rsidRPr="008700F0">
        <w:rPr>
          <w:rFonts w:cstheme="minorHAnsi"/>
        </w:rPr>
        <w:t>, gavęs pareiškėjo prašymą dėl prieglobsčio suteikimo, tur</w:t>
      </w:r>
      <w:r>
        <w:rPr>
          <w:rFonts w:cstheme="minorHAnsi"/>
        </w:rPr>
        <w:t>ėjo</w:t>
      </w:r>
      <w:r w:rsidRPr="008700F0">
        <w:rPr>
          <w:rFonts w:cstheme="minorHAnsi"/>
        </w:rPr>
        <w:t xml:space="preserve"> teisę, o ne pareigą pasinaudoti Reglamento 17 straipsnio 1 dalyje įtvirtinta diskrecine išlyga.</w:t>
      </w:r>
      <w:r>
        <w:rPr>
          <w:rFonts w:cstheme="minorHAnsi"/>
        </w:rPr>
        <w:t xml:space="preserve"> G</w:t>
      </w:r>
      <w:r w:rsidRPr="008A375A">
        <w:rPr>
          <w:rFonts w:cstheme="minorHAnsi"/>
        </w:rPr>
        <w:t>inč</w:t>
      </w:r>
      <w:r w:rsidR="00DD4E4D">
        <w:rPr>
          <w:rFonts w:cstheme="minorHAnsi"/>
        </w:rPr>
        <w:t>yt</w:t>
      </w:r>
      <w:r w:rsidRPr="008A375A">
        <w:rPr>
          <w:rFonts w:cstheme="minorHAnsi"/>
        </w:rPr>
        <w:t xml:space="preserve">ame </w:t>
      </w:r>
      <w:r>
        <w:rPr>
          <w:rFonts w:cstheme="minorHAnsi"/>
        </w:rPr>
        <w:t>s</w:t>
      </w:r>
      <w:r w:rsidRPr="008A375A">
        <w:rPr>
          <w:rFonts w:cstheme="minorHAnsi"/>
        </w:rPr>
        <w:t xml:space="preserve">prendime </w:t>
      </w:r>
      <w:r>
        <w:rPr>
          <w:rFonts w:cstheme="minorHAnsi"/>
        </w:rPr>
        <w:t>MD</w:t>
      </w:r>
      <w:r w:rsidRPr="008A375A">
        <w:rPr>
          <w:rFonts w:cstheme="minorHAnsi"/>
        </w:rPr>
        <w:t xml:space="preserve"> tinkamai įvertino pareiškėjo situaciją: </w:t>
      </w:r>
      <w:r w:rsidRPr="00194815">
        <w:rPr>
          <w:rFonts w:cstheme="minorHAnsi"/>
          <w:u w:val="single"/>
        </w:rPr>
        <w:t>šeimos ryšių Lietuvoje nėra, socialiniai ryšiai su kitais Lietuvos Respublikoje gyvenančiais asmenimis nepagrindžia prielaidos, jog Lietuvos Respublika būtų tinkamiausia ES valstybė narė jo prašymui suteikti prieglobstį nagrinėti</w:t>
      </w:r>
      <w:r w:rsidRPr="00B773FC">
        <w:rPr>
          <w:rFonts w:cstheme="minorHAnsi"/>
          <w:u w:val="single"/>
        </w:rPr>
        <w:t>, nenustatyta individualių humanitarinių priežasčių, dėl kurių pareiškėjo perdavimas Lenkijos Respublikai sukeltų jam pernelyg didelę ir neproporcingą žalą. Rezidavimas</w:t>
      </w:r>
      <w:r w:rsidRPr="008A375A">
        <w:rPr>
          <w:rFonts w:cstheme="minorHAnsi"/>
          <w:u w:val="single"/>
        </w:rPr>
        <w:t xml:space="preserve"> ir darbas ES valstybėje narėje nėra kriterijus, reikšmingas nustatant valstybę, atsakingą už prieglobsčio prašymo nagrinėjimą</w:t>
      </w:r>
      <w:r>
        <w:rPr>
          <w:rFonts w:cstheme="minorHAnsi"/>
        </w:rPr>
        <w:t>.</w:t>
      </w:r>
    </w:p>
    <w:p w14:paraId="682E0872" w14:textId="77777777" w:rsidR="000B1563" w:rsidRDefault="000B1563" w:rsidP="000B1563">
      <w:pPr>
        <w:pStyle w:val="NoSpacing"/>
        <w:ind w:firstLine="567"/>
        <w:jc w:val="both"/>
        <w:rPr>
          <w:rFonts w:cstheme="minorHAnsi"/>
        </w:rPr>
      </w:pPr>
      <w:r>
        <w:rPr>
          <w:rFonts w:cstheme="minorHAnsi"/>
        </w:rPr>
        <w:t>LVAT atmetė pareiškėjo apeliacinį skundą.</w:t>
      </w:r>
    </w:p>
    <w:p w14:paraId="4906FED1" w14:textId="77777777" w:rsidR="000B1563" w:rsidRDefault="000B1563" w:rsidP="000B1563">
      <w:pPr>
        <w:pStyle w:val="NoSpacing"/>
        <w:jc w:val="both"/>
        <w:rPr>
          <w:rFonts w:cstheme="minorHAnsi"/>
        </w:rPr>
      </w:pPr>
    </w:p>
    <w:p w14:paraId="2C6A6601" w14:textId="77777777" w:rsidR="000B1563" w:rsidRPr="00477E84" w:rsidRDefault="000B1563" w:rsidP="000B1563">
      <w:pPr>
        <w:pStyle w:val="NoSpacing"/>
        <w:jc w:val="both"/>
        <w:rPr>
          <w:rFonts w:cstheme="minorHAnsi"/>
        </w:rPr>
      </w:pPr>
      <w:r w:rsidRPr="00477E84">
        <w:rPr>
          <w:rFonts w:cstheme="minorHAnsi"/>
        </w:rPr>
        <w:t xml:space="preserve">2024 m. lapkričio </w:t>
      </w:r>
      <w:r>
        <w:rPr>
          <w:rFonts w:cstheme="minorHAnsi"/>
        </w:rPr>
        <w:t>20</w:t>
      </w:r>
      <w:r w:rsidRPr="00477E84">
        <w:rPr>
          <w:rFonts w:cstheme="minorHAnsi"/>
        </w:rPr>
        <w:t xml:space="preserve"> d. </w:t>
      </w:r>
      <w:r>
        <w:rPr>
          <w:rFonts w:cstheme="minorHAnsi"/>
        </w:rPr>
        <w:t>nutartis</w:t>
      </w:r>
      <w:r w:rsidRPr="00477E84">
        <w:rPr>
          <w:rFonts w:cstheme="minorHAnsi"/>
        </w:rPr>
        <w:t xml:space="preserve"> administracinėje byloje Nr. </w:t>
      </w:r>
      <w:r w:rsidRPr="009B6E3C">
        <w:rPr>
          <w:rFonts w:cstheme="minorHAnsi"/>
        </w:rPr>
        <w:t>eA-2458-415/2024</w:t>
      </w:r>
    </w:p>
    <w:p w14:paraId="08D7F22F" w14:textId="77777777" w:rsidR="000B1563" w:rsidRPr="00477E84" w:rsidRDefault="000B1563" w:rsidP="000B1563">
      <w:pPr>
        <w:pStyle w:val="NoSpacing"/>
        <w:jc w:val="both"/>
        <w:rPr>
          <w:rFonts w:cstheme="minorHAnsi"/>
        </w:rPr>
      </w:pPr>
      <w:r w:rsidRPr="00477E84">
        <w:rPr>
          <w:rFonts w:cstheme="minorHAnsi"/>
        </w:rPr>
        <w:t xml:space="preserve">Teisminio proceso Nr. </w:t>
      </w:r>
      <w:r w:rsidRPr="009B6E3C">
        <w:rPr>
          <w:rFonts w:cstheme="minorHAnsi"/>
        </w:rPr>
        <w:t>3-61-3-03300-2024-7</w:t>
      </w:r>
    </w:p>
    <w:p w14:paraId="5F72A2EE" w14:textId="77777777" w:rsidR="000B1563" w:rsidRDefault="000B1563" w:rsidP="000B1563">
      <w:pPr>
        <w:pStyle w:val="NoSpacing"/>
        <w:jc w:val="both"/>
        <w:rPr>
          <w:rFonts w:cstheme="minorHAnsi"/>
        </w:rPr>
      </w:pPr>
      <w:hyperlink r:id="rId18" w:history="1">
        <w:r w:rsidRPr="00477E84">
          <w:rPr>
            <w:rStyle w:val="Hyperlink"/>
            <w:rFonts w:cstheme="minorHAnsi"/>
          </w:rPr>
          <w:t>Prieiga internete</w:t>
        </w:r>
      </w:hyperlink>
    </w:p>
    <w:p w14:paraId="4BE16498" w14:textId="77777777" w:rsidR="000B1563" w:rsidRDefault="000B1563" w:rsidP="000B1563">
      <w:pPr>
        <w:pStyle w:val="NoSpacing"/>
        <w:jc w:val="both"/>
        <w:rPr>
          <w:rFonts w:cstheme="minorHAnsi"/>
        </w:rPr>
      </w:pPr>
    </w:p>
    <w:p w14:paraId="5C5C4453" w14:textId="77777777" w:rsidR="009A7DB2" w:rsidRPr="009A7DB2" w:rsidRDefault="009A7DB2" w:rsidP="009A7DB2">
      <w:pPr>
        <w:pStyle w:val="Apzvalgai1"/>
        <w:rPr>
          <w:rFonts w:asciiTheme="minorHAnsi" w:hAnsiTheme="minorHAnsi" w:cstheme="minorHAnsi"/>
        </w:rPr>
      </w:pPr>
      <w:bookmarkStart w:id="28" w:name="_Toc187075140"/>
      <w:r w:rsidRPr="009A7DB2">
        <w:rPr>
          <w:rFonts w:asciiTheme="minorHAnsi" w:hAnsiTheme="minorHAnsi" w:cstheme="minorHAnsi"/>
        </w:rPr>
        <w:t>10. Lietuvos Respublikos pilietybė</w:t>
      </w:r>
      <w:bookmarkEnd w:id="28"/>
    </w:p>
    <w:p w14:paraId="5AB5FA52" w14:textId="77777777" w:rsidR="009A7DB2" w:rsidRDefault="009A7DB2" w:rsidP="009A7DB2">
      <w:pPr>
        <w:pStyle w:val="NoSpacing"/>
        <w:ind w:firstLine="567"/>
        <w:jc w:val="both"/>
        <w:rPr>
          <w:rFonts w:cstheme="minorHAnsi"/>
          <w:b/>
          <w:bCs/>
          <w:u w:val="single"/>
        </w:rPr>
      </w:pPr>
      <w:r>
        <w:rPr>
          <w:rFonts w:cstheme="minorHAnsi"/>
          <w:b/>
          <w:bCs/>
          <w:u w:val="single"/>
        </w:rPr>
        <w:t>10.3. Lietuvos Respublikos pilietybės netekimas</w:t>
      </w:r>
    </w:p>
    <w:p w14:paraId="1250F149" w14:textId="77777777" w:rsidR="009A7DB2" w:rsidRDefault="009A7DB2" w:rsidP="009A7DB2">
      <w:pPr>
        <w:pStyle w:val="NoSpacing"/>
        <w:jc w:val="both"/>
        <w:rPr>
          <w:rFonts w:cstheme="minorHAnsi"/>
        </w:rPr>
      </w:pPr>
    </w:p>
    <w:p w14:paraId="46453AA9" w14:textId="4E956150" w:rsidR="009A7DB2" w:rsidRPr="009A7DB2" w:rsidRDefault="009A7DB2" w:rsidP="009A7DB2">
      <w:pPr>
        <w:jc w:val="both"/>
        <w:outlineLvl w:val="1"/>
        <w:rPr>
          <w:rFonts w:asciiTheme="minorHAnsi" w:eastAsia="Calibri" w:hAnsiTheme="minorHAnsi" w:cstheme="minorHAnsi"/>
          <w:i/>
          <w:sz w:val="22"/>
          <w:szCs w:val="22"/>
        </w:rPr>
      </w:pPr>
      <w:bookmarkStart w:id="29" w:name="_Toc187075141"/>
      <w:r w:rsidRPr="009A7DB2">
        <w:rPr>
          <w:rFonts w:asciiTheme="minorHAnsi" w:eastAsia="Calibri" w:hAnsiTheme="minorHAnsi" w:cstheme="minorHAnsi"/>
          <w:i/>
          <w:sz w:val="22"/>
          <w:szCs w:val="22"/>
        </w:rPr>
        <w:t xml:space="preserve">Dėl Lietuvos Respublikos pilietybės netekimo, įgijus kitos valstybės pilietybę, ir </w:t>
      </w:r>
      <w:r w:rsidR="007E0DAF">
        <w:rPr>
          <w:rFonts w:asciiTheme="minorHAnsi" w:eastAsia="Calibri" w:hAnsiTheme="minorHAnsi" w:cstheme="minorHAnsi"/>
          <w:i/>
          <w:sz w:val="22"/>
          <w:szCs w:val="22"/>
        </w:rPr>
        <w:t>su tuo susijusių</w:t>
      </w:r>
      <w:r w:rsidRPr="009A7DB2">
        <w:rPr>
          <w:rFonts w:asciiTheme="minorHAnsi" w:eastAsia="Calibri" w:hAnsiTheme="minorHAnsi" w:cstheme="minorHAnsi"/>
          <w:i/>
          <w:sz w:val="22"/>
          <w:szCs w:val="22"/>
        </w:rPr>
        <w:t xml:space="preserve"> pasekmių – Europos Sąjungos pilietybės netekimo</w:t>
      </w:r>
      <w:bookmarkEnd w:id="29"/>
    </w:p>
    <w:p w14:paraId="68E847A0" w14:textId="77777777" w:rsidR="009A7DB2" w:rsidRDefault="009A7DB2" w:rsidP="009A7DB2">
      <w:pPr>
        <w:pStyle w:val="NoSpacing"/>
        <w:jc w:val="both"/>
        <w:rPr>
          <w:rFonts w:cstheme="minorHAnsi"/>
        </w:rPr>
      </w:pPr>
    </w:p>
    <w:p w14:paraId="3210A3FC" w14:textId="77777777" w:rsidR="009A7DB2" w:rsidRDefault="009A7DB2" w:rsidP="009A7DB2">
      <w:pPr>
        <w:pStyle w:val="NoSpacing"/>
        <w:ind w:firstLine="567"/>
        <w:jc w:val="both"/>
        <w:rPr>
          <w:rFonts w:cstheme="minorHAnsi"/>
        </w:rPr>
      </w:pPr>
      <w:r w:rsidRPr="000A73C0">
        <w:rPr>
          <w:rFonts w:cstheme="minorHAnsi"/>
        </w:rPr>
        <w:t xml:space="preserve">Byloje nagrinėtas ginčas, kilęs dėl </w:t>
      </w:r>
      <w:r w:rsidRPr="00E730CF">
        <w:rPr>
          <w:rFonts w:cstheme="minorHAnsi"/>
        </w:rPr>
        <w:t>Lietuvos Respublikos vidaus reikalų minist</w:t>
      </w:r>
      <w:r>
        <w:rPr>
          <w:rFonts w:cstheme="minorHAnsi"/>
        </w:rPr>
        <w:t>ro</w:t>
      </w:r>
      <w:r w:rsidRPr="00E730CF">
        <w:rPr>
          <w:rFonts w:cstheme="minorHAnsi"/>
        </w:rPr>
        <w:t xml:space="preserve"> įsakymo, kuri</w:t>
      </w:r>
      <w:r>
        <w:rPr>
          <w:rFonts w:cstheme="minorHAnsi"/>
        </w:rPr>
        <w:t>uo</w:t>
      </w:r>
      <w:r w:rsidRPr="00E730CF">
        <w:rPr>
          <w:rFonts w:cstheme="minorHAnsi"/>
        </w:rPr>
        <w:t xml:space="preserve"> </w:t>
      </w:r>
      <w:r>
        <w:rPr>
          <w:rFonts w:cstheme="minorHAnsi"/>
        </w:rPr>
        <w:t xml:space="preserve">nustatyta, kad </w:t>
      </w:r>
      <w:r w:rsidRPr="00E730CF">
        <w:rPr>
          <w:rFonts w:cstheme="minorHAnsi"/>
        </w:rPr>
        <w:t>pareiškėjas neteko Lietuvos Respublikos pilietybės</w:t>
      </w:r>
      <w:r>
        <w:rPr>
          <w:rFonts w:cstheme="minorHAnsi"/>
        </w:rPr>
        <w:t xml:space="preserve"> dėl to, kad įgijo kitos valstybės pilietybę</w:t>
      </w:r>
      <w:r w:rsidRPr="000A73C0">
        <w:rPr>
          <w:rFonts w:cstheme="minorHAnsi"/>
        </w:rPr>
        <w:t>, pagrįstumo ir teisėtumo.</w:t>
      </w:r>
    </w:p>
    <w:p w14:paraId="436FD2BD" w14:textId="77777777" w:rsidR="009A7DB2" w:rsidRDefault="009A7DB2" w:rsidP="009A7DB2">
      <w:pPr>
        <w:pStyle w:val="NoSpacing"/>
        <w:ind w:firstLine="567"/>
        <w:jc w:val="both"/>
        <w:rPr>
          <w:rFonts w:cstheme="minorHAnsi"/>
        </w:rPr>
      </w:pPr>
      <w:r>
        <w:rPr>
          <w:rFonts w:cstheme="minorHAnsi"/>
        </w:rPr>
        <w:t xml:space="preserve">Pirmosios instancijos teismas atmetė pareiškėjo skundą, nustatęs, kad </w:t>
      </w:r>
      <w:r w:rsidRPr="00887CFC">
        <w:rPr>
          <w:rFonts w:cstheme="minorHAnsi"/>
        </w:rPr>
        <w:t>pareiškėjas sąmoningais veiksmais elgėsi nerūpestingai ir neatsakingai</w:t>
      </w:r>
      <w:r>
        <w:rPr>
          <w:rFonts w:cstheme="minorHAnsi"/>
        </w:rPr>
        <w:t xml:space="preserve"> –</w:t>
      </w:r>
      <w:r w:rsidRPr="00887CFC">
        <w:rPr>
          <w:rFonts w:cstheme="minorHAnsi"/>
        </w:rPr>
        <w:t xml:space="preserve"> būdamas informuotas ir žinodamas apie </w:t>
      </w:r>
      <w:r>
        <w:rPr>
          <w:rFonts w:cstheme="minorHAnsi"/>
        </w:rPr>
        <w:t xml:space="preserve">dėl </w:t>
      </w:r>
      <w:r w:rsidRPr="00887CFC">
        <w:rPr>
          <w:rFonts w:cstheme="minorHAnsi"/>
        </w:rPr>
        <w:t xml:space="preserve">jo atliekamą teisės turėti dvigubą pilietybę tikrinimo procedūrą, taip pat būdamas įpareigotas pateikti tokią teisę patvirtinančius duomenis, atsisakė priimti </w:t>
      </w:r>
      <w:r>
        <w:rPr>
          <w:rFonts w:cstheme="minorHAnsi"/>
        </w:rPr>
        <w:t xml:space="preserve">jam </w:t>
      </w:r>
      <w:r w:rsidRPr="00887CFC">
        <w:rPr>
          <w:rFonts w:cstheme="minorHAnsi"/>
        </w:rPr>
        <w:t xml:space="preserve">siunčiamus pranešimus, nebendradarbiavo su </w:t>
      </w:r>
      <w:r>
        <w:rPr>
          <w:rFonts w:cstheme="minorHAnsi"/>
        </w:rPr>
        <w:t>MD</w:t>
      </w:r>
      <w:r w:rsidRPr="00887CFC">
        <w:rPr>
          <w:rFonts w:cstheme="minorHAnsi"/>
        </w:rPr>
        <w:t xml:space="preserve"> ar</w:t>
      </w:r>
      <w:r>
        <w:rPr>
          <w:rFonts w:cstheme="minorHAnsi"/>
        </w:rPr>
        <w:t xml:space="preserve"> Lietuvos Respublikos</w:t>
      </w:r>
      <w:r w:rsidRPr="00887CFC">
        <w:rPr>
          <w:rFonts w:cstheme="minorHAnsi"/>
        </w:rPr>
        <w:t xml:space="preserve"> </w:t>
      </w:r>
      <w:r>
        <w:rPr>
          <w:rFonts w:cstheme="minorHAnsi"/>
        </w:rPr>
        <w:t>vidaus reikalų ministerija (toliau – Ministerija)</w:t>
      </w:r>
      <w:r w:rsidRPr="00887CFC">
        <w:rPr>
          <w:rFonts w:cstheme="minorHAnsi"/>
        </w:rPr>
        <w:t xml:space="preserve">, ir turėdamas Rusijos Federacijos pilietybę iki skundžiamo </w:t>
      </w:r>
      <w:r>
        <w:rPr>
          <w:rFonts w:cstheme="minorHAnsi"/>
        </w:rPr>
        <w:t>į</w:t>
      </w:r>
      <w:r w:rsidRPr="00887CFC">
        <w:rPr>
          <w:rFonts w:cstheme="minorHAnsi"/>
        </w:rPr>
        <w:t>sakymo priėmimo nevykdė pareigos apie tai per 2 mėnesius informuoti atitinkamas Lietuvos Respublikos institucijas</w:t>
      </w:r>
      <w:r>
        <w:rPr>
          <w:rFonts w:cstheme="minorHAnsi"/>
        </w:rPr>
        <w:t>.</w:t>
      </w:r>
    </w:p>
    <w:p w14:paraId="33F46E7C" w14:textId="148AB61C" w:rsidR="009A7DB2" w:rsidRDefault="009A7DB2" w:rsidP="009A7DB2">
      <w:pPr>
        <w:pStyle w:val="NoSpacing"/>
        <w:ind w:firstLine="567"/>
        <w:jc w:val="both"/>
        <w:rPr>
          <w:rFonts w:cstheme="minorHAnsi"/>
        </w:rPr>
      </w:pPr>
      <w:r>
        <w:rPr>
          <w:rFonts w:cstheme="minorHAnsi"/>
        </w:rPr>
        <w:t xml:space="preserve">LVAT atkreipė dėmesį, jog byloje </w:t>
      </w:r>
      <w:r w:rsidRPr="00F54F34">
        <w:rPr>
          <w:rFonts w:cstheme="minorHAnsi"/>
        </w:rPr>
        <w:t>nesutariama, ar pareiškėjas, kaip iki 1940 m. birželio 15 d. iš Lietuvos išvykusio jo senelio</w:t>
      </w:r>
      <w:r>
        <w:rPr>
          <w:rFonts w:cstheme="minorHAnsi"/>
        </w:rPr>
        <w:t xml:space="preserve"> </w:t>
      </w:r>
      <w:r w:rsidRPr="00F54F34">
        <w:rPr>
          <w:rFonts w:cstheme="minorHAnsi"/>
        </w:rPr>
        <w:t xml:space="preserve">palikuonis, pagal Konstituciją ir Pilietybės įstatymą gali būti kartu Lietuvos Respublikos ir kitos valstybės pilietis, ir ar toks klausimas pagrįstai bei teisėtai išspręstas pagal visus objektyvius duomenis tuo aspektu, kad </w:t>
      </w:r>
      <w:r>
        <w:rPr>
          <w:rFonts w:cstheme="minorHAnsi"/>
        </w:rPr>
        <w:t xml:space="preserve">galbūt </w:t>
      </w:r>
      <w:r w:rsidRPr="00F54F34">
        <w:rPr>
          <w:rFonts w:cstheme="minorHAnsi"/>
        </w:rPr>
        <w:t>nebuvo įvertinti visi duomenys, įskaitant pareiškėjo iš Rusijos Federacijos gautus archyvinius duomenis, apie pareiškėjo senelį, lietuvių kilmės asmenį, iš Biržų į Pskov</w:t>
      </w:r>
      <w:r>
        <w:rPr>
          <w:rFonts w:cstheme="minorHAnsi"/>
        </w:rPr>
        <w:t>ą</w:t>
      </w:r>
      <w:r w:rsidRPr="00F54F34">
        <w:rPr>
          <w:rFonts w:cstheme="minorHAnsi"/>
        </w:rPr>
        <w:t xml:space="preserve"> </w:t>
      </w:r>
      <w:r>
        <w:rPr>
          <w:rFonts w:cstheme="minorHAnsi"/>
        </w:rPr>
        <w:t xml:space="preserve">atvykusį </w:t>
      </w:r>
      <w:r w:rsidRPr="00F54F34">
        <w:rPr>
          <w:rFonts w:cstheme="minorHAnsi"/>
        </w:rPr>
        <w:t xml:space="preserve">1938 m. gruodžio 10 d. dirbti ir gyventi kartu su </w:t>
      </w:r>
      <w:r>
        <w:rPr>
          <w:rFonts w:cstheme="minorHAnsi"/>
        </w:rPr>
        <w:t>ten</w:t>
      </w:r>
      <w:r w:rsidRPr="00F54F34">
        <w:rPr>
          <w:rFonts w:cstheme="minorHAnsi"/>
        </w:rPr>
        <w:t xml:space="preserve"> nuolat gyvenusia </w:t>
      </w:r>
      <w:r>
        <w:rPr>
          <w:rFonts w:cstheme="minorHAnsi"/>
        </w:rPr>
        <w:t>rusų tautybės</w:t>
      </w:r>
      <w:r w:rsidRPr="00F54F34">
        <w:rPr>
          <w:rFonts w:cstheme="minorHAnsi"/>
        </w:rPr>
        <w:t xml:space="preserve"> žmona.</w:t>
      </w:r>
    </w:p>
    <w:p w14:paraId="433F4C03" w14:textId="5D22835E" w:rsidR="009A7DB2" w:rsidRDefault="009A7DB2" w:rsidP="009A7DB2">
      <w:pPr>
        <w:pStyle w:val="NoSpacing"/>
        <w:ind w:firstLine="567"/>
        <w:jc w:val="both"/>
        <w:rPr>
          <w:rFonts w:cstheme="minorHAnsi"/>
        </w:rPr>
      </w:pPr>
      <w:r>
        <w:rPr>
          <w:rFonts w:cstheme="minorHAnsi"/>
        </w:rPr>
        <w:t xml:space="preserve">Įvertinusi byloje nustatytas aplinkybes, LVAT teisėjų kolegija pažymėjo, jog </w:t>
      </w:r>
      <w:r w:rsidRPr="00F11BDF">
        <w:rPr>
          <w:rFonts w:cstheme="minorHAnsi"/>
        </w:rPr>
        <w:t xml:space="preserve">grėsmių nacionaliniam saugumui kontekste aktuali Konstitucinio Teismo 2017 m. spalio 20 d. sprendime patikslinta dvigubos </w:t>
      </w:r>
      <w:r w:rsidRPr="00F11BDF">
        <w:rPr>
          <w:rFonts w:cstheme="minorHAnsi"/>
        </w:rPr>
        <w:lastRenderedPageBreak/>
        <w:t>(daugybinės) pilietybės konstitucinių pagrindų išplėtimo perspektyvos pagal geopolitinę orientaciją samprata tuo aspektu, kad Konstitucijos 12 straipsnio 2 dalies</w:t>
      </w:r>
      <w:r>
        <w:rPr>
          <w:rFonts w:cstheme="minorHAnsi"/>
        </w:rPr>
        <w:t xml:space="preserve"> (i</w:t>
      </w:r>
      <w:r w:rsidRPr="00BC7FB2">
        <w:rPr>
          <w:rFonts w:cstheme="minorHAnsi"/>
        </w:rPr>
        <w:t>šskyrus įstatymo numatytus atskirus atvejus, niekas negali būti kartu Lietuvos Respublikos ir kitos valstybės pilietis</w:t>
      </w:r>
      <w:r>
        <w:rPr>
          <w:rFonts w:cstheme="minorHAnsi"/>
        </w:rPr>
        <w:t>)</w:t>
      </w:r>
      <w:r w:rsidRPr="00F11BDF">
        <w:rPr>
          <w:rFonts w:cstheme="minorHAnsi"/>
        </w:rPr>
        <w:t xml:space="preserve"> pakeitimo referendumu kriterijumi gali būti ir Konstitucijoje įtvirtinta Lietuvos valstybės geopolitinė orientacija, tačiau, referendumu nepakeitus Konstitucijos 12 straipsnio 2 dalies, įstatymu negali būti nustatyta, kad Lietuvos Respublikos piliečiai, po Lietuvos Respublikos nepriklausomybės atkūrimo 1990 m. kovo 11 d. išvykę iš Lietuvos Respublikos ir įgiję Europos Sąjungos arba (ir) Šiaurės Atlanto Sutarties Organizacijos valstybės narės pilietybę, gali būti kartu Lietuvos Respublikos ir kitos valstybės piliečiai.</w:t>
      </w:r>
    </w:p>
    <w:p w14:paraId="6E53D512" w14:textId="190180F6" w:rsidR="009A7DB2" w:rsidRDefault="009A7DB2" w:rsidP="009A7DB2">
      <w:pPr>
        <w:pStyle w:val="NoSpacing"/>
        <w:ind w:firstLine="567"/>
        <w:jc w:val="both"/>
        <w:rPr>
          <w:rFonts w:cstheme="minorHAnsi"/>
        </w:rPr>
      </w:pPr>
      <w:r>
        <w:rPr>
          <w:rFonts w:cstheme="minorHAnsi"/>
        </w:rPr>
        <w:t>LVAT atkreipė dėmesį, kad</w:t>
      </w:r>
      <w:r w:rsidRPr="00692827">
        <w:t xml:space="preserve"> </w:t>
      </w:r>
      <w:r>
        <w:rPr>
          <w:rFonts w:cstheme="minorHAnsi"/>
        </w:rPr>
        <w:t>aptaria</w:t>
      </w:r>
      <w:r w:rsidRPr="00692827">
        <w:rPr>
          <w:rFonts w:cstheme="minorHAnsi"/>
        </w:rPr>
        <w:t>mos administracinės bylos kontekste pareiškėjas, kuris neginčij</w:t>
      </w:r>
      <w:r>
        <w:rPr>
          <w:rFonts w:cstheme="minorHAnsi"/>
        </w:rPr>
        <w:t>o</w:t>
      </w:r>
      <w:r w:rsidRPr="00692827">
        <w:rPr>
          <w:rFonts w:cstheme="minorHAnsi"/>
        </w:rPr>
        <w:t xml:space="preserve"> savo gimimo Lietuvoje 1978 m</w:t>
      </w:r>
      <w:r>
        <w:rPr>
          <w:rFonts w:cstheme="minorHAnsi"/>
        </w:rPr>
        <w:t>etais</w:t>
      </w:r>
      <w:r w:rsidRPr="00692827">
        <w:rPr>
          <w:rFonts w:cstheme="minorHAnsi"/>
        </w:rPr>
        <w:t xml:space="preserve"> ir tėvų nuolatinės gyvenamosios vietos buvimo Lietuvoje 1990 m. kovo 11 d., negali būti tapatinamas su „lietuviais, gyvenančiais kitose valstybėse“ ar „užsienio lietuviais“, kurie nurod</w:t>
      </w:r>
      <w:r>
        <w:rPr>
          <w:rFonts w:cstheme="minorHAnsi"/>
        </w:rPr>
        <w:t>yti</w:t>
      </w:r>
      <w:r w:rsidRPr="00692827">
        <w:rPr>
          <w:rFonts w:cstheme="minorHAnsi"/>
        </w:rPr>
        <w:t xml:space="preserve"> Konstitucinio Teismo 2006 m. lapkričio 13 d. nutarime.</w:t>
      </w:r>
      <w:r>
        <w:rPr>
          <w:rFonts w:cstheme="minorHAnsi"/>
        </w:rPr>
        <w:t xml:space="preserve"> </w:t>
      </w:r>
      <w:r w:rsidRPr="00AC0FB9">
        <w:rPr>
          <w:rFonts w:cstheme="minorHAnsi"/>
          <w:u w:val="single"/>
        </w:rPr>
        <w:t>Pilietybės įstatymo 2 straipsnio 3 dalyje įtvirtinta išlyga „jeigu 1990 m. kovo 11 d. jų nuolatinė gyvenamoji vieta buvo ne Lietuvoje“, sistemiškai aiškinama kitų šio įstatymo nuostatų kontekste, lemia, kad tiek minėto išvykusio asmens, tiek jo palikuonio, kuris gali būti suprantamas jo vaiko, vaikaičio ir provaikaičio aspektais, gyvenamajai vietai 1990 m. kovo 11</w:t>
      </w:r>
      <w:r w:rsidR="000F0961">
        <w:rPr>
          <w:rFonts w:cstheme="minorHAnsi"/>
          <w:u w:val="single"/>
        </w:rPr>
        <w:t xml:space="preserve"> </w:t>
      </w:r>
      <w:r w:rsidRPr="00AC0FB9">
        <w:rPr>
          <w:rFonts w:cstheme="minorHAnsi"/>
          <w:u w:val="single"/>
        </w:rPr>
        <w:t>d. buvus ne Lietuvoje po jų išvykimo iki 1990 m. kovo 11 d. nuolat gyventi į kitą valstybę, jie visi (kiekvienas atskirai) gali įgyvendinti teisę būti Lietuvos Respublikos piliečiu ir kartu kitos valstybės piliečiu pagal Pilietybės įstatymo 7</w:t>
      </w:r>
      <w:r w:rsidR="000F0961">
        <w:rPr>
          <w:rFonts w:cstheme="minorHAnsi"/>
          <w:u w:val="single"/>
        </w:rPr>
        <w:t> </w:t>
      </w:r>
      <w:r w:rsidRPr="00AC0FB9">
        <w:rPr>
          <w:rFonts w:cstheme="minorHAnsi"/>
          <w:u w:val="single"/>
        </w:rPr>
        <w:t>straipsnio 3, 4 punktus bei 2 straipsnio 3 dalį ir 7 dalį</w:t>
      </w:r>
      <w:r w:rsidRPr="002B23D4">
        <w:rPr>
          <w:rFonts w:cstheme="minorHAnsi"/>
          <w:u w:val="single"/>
        </w:rPr>
        <w:t>. Vadinasi, asmens, išvykusio iš Lietuvos iki 1990 m. kovo 11 d. nuolat gyventi į kitą valstybę, vaikas ar vaikaitis arba provaikaitis negali būti vertinamas kaip toks iš Lietuvos iki minėtos datos išvykusiojo asmens palikuonis, kuris gali būti kartu Lietuvos Respublikos ir kitos valstybės pilietis, nes jis gimė Lietuvoje iki 1990 m. kovo 11 d., jo tėvams (seneliams) sugrįžus nuolat gyventi į Lietuvą iki 1990 m. kovo 11 d. ir turėjus nuolatinę gyvenamąją vietą Lietuvoje 1990 m. kovo 11 d</w:t>
      </w:r>
      <w:r w:rsidRPr="002B23D4">
        <w:rPr>
          <w:rFonts w:cstheme="minorHAnsi"/>
        </w:rPr>
        <w:t>.</w:t>
      </w:r>
    </w:p>
    <w:p w14:paraId="21220668" w14:textId="30FD98B0" w:rsidR="009A7DB2" w:rsidRDefault="009A7DB2" w:rsidP="009A7DB2">
      <w:pPr>
        <w:pStyle w:val="NoSpacing"/>
        <w:ind w:firstLine="567"/>
        <w:jc w:val="both"/>
        <w:rPr>
          <w:rFonts w:cstheme="minorHAnsi"/>
        </w:rPr>
      </w:pPr>
      <w:r>
        <w:rPr>
          <w:rFonts w:cstheme="minorHAnsi"/>
        </w:rPr>
        <w:t>Pareiškėjas</w:t>
      </w:r>
      <w:r w:rsidRPr="00E2069A">
        <w:rPr>
          <w:rFonts w:cstheme="minorHAnsi"/>
        </w:rPr>
        <w:t>, gimęs Lietuvoje ir turėjęs jam išduotą Lietuvos Respublikos pasą, n</w:t>
      </w:r>
      <w:r>
        <w:rPr>
          <w:rFonts w:cstheme="minorHAnsi"/>
        </w:rPr>
        <w:t>ebuvo</w:t>
      </w:r>
      <w:r w:rsidRPr="00E2069A">
        <w:rPr>
          <w:rFonts w:cstheme="minorHAnsi"/>
        </w:rPr>
        <w:t xml:space="preserve"> nei kitoje valstybėje gyvenantis lietuvis, kuris siektų lengvesnėmis sąlygomis (be įprastinių natūralizacijos sąlygų) įgyvendinti teisę į Lietuvos Respublikos pilietybę, nei užsienio lietuvis, kuris pagal savo senelių ar vieno iš senelio turėtą sąsają su Lietuva pilietybės santykių lygmenyje, siektų Lietuvos Respublikos pilietybės įgijimo.</w:t>
      </w:r>
      <w:r>
        <w:rPr>
          <w:rFonts w:cstheme="minorHAnsi"/>
        </w:rPr>
        <w:t xml:space="preserve"> P</w:t>
      </w:r>
      <w:r w:rsidRPr="00E2069A">
        <w:rPr>
          <w:rFonts w:cstheme="minorHAnsi"/>
        </w:rPr>
        <w:t>areiškėjo pabrėžiama jo senelio išvykimo ar ga</w:t>
      </w:r>
      <w:r>
        <w:rPr>
          <w:rFonts w:cstheme="minorHAnsi"/>
        </w:rPr>
        <w:t>lbūt</w:t>
      </w:r>
      <w:r w:rsidRPr="00E2069A">
        <w:rPr>
          <w:rFonts w:cstheme="minorHAnsi"/>
        </w:rPr>
        <w:t xml:space="preserve"> politiškai motyvuoto pasitraukimo iš Lietuvos 1938</w:t>
      </w:r>
      <w:r w:rsidR="000F0961">
        <w:rPr>
          <w:rFonts w:cstheme="minorHAnsi"/>
        </w:rPr>
        <w:t xml:space="preserve"> </w:t>
      </w:r>
      <w:r w:rsidRPr="00E2069A">
        <w:rPr>
          <w:rFonts w:cstheme="minorHAnsi"/>
        </w:rPr>
        <w:t>m</w:t>
      </w:r>
      <w:r>
        <w:rPr>
          <w:rFonts w:cstheme="minorHAnsi"/>
        </w:rPr>
        <w:t>etais</w:t>
      </w:r>
      <w:r w:rsidRPr="00E2069A">
        <w:rPr>
          <w:rFonts w:cstheme="minorHAnsi"/>
        </w:rPr>
        <w:t xml:space="preserve"> aplinkybė</w:t>
      </w:r>
      <w:r>
        <w:rPr>
          <w:rFonts w:cstheme="minorHAnsi"/>
        </w:rPr>
        <w:t xml:space="preserve"> </w:t>
      </w:r>
      <w:r w:rsidRPr="00E2069A">
        <w:rPr>
          <w:rFonts w:cstheme="minorHAnsi"/>
        </w:rPr>
        <w:t>galėtų turėti esminės svarbos, jei pareiškėjo tėvai nebūtų turėję nuolatinės gyvenamosios vietos Lietuvos Respublikoje 1990</w:t>
      </w:r>
      <w:r w:rsidR="000F0961">
        <w:rPr>
          <w:rFonts w:cstheme="minorHAnsi"/>
        </w:rPr>
        <w:t> </w:t>
      </w:r>
      <w:r w:rsidRPr="00E2069A">
        <w:rPr>
          <w:rFonts w:cstheme="minorHAnsi"/>
        </w:rPr>
        <w:t xml:space="preserve">m. kovo 11 d. </w:t>
      </w:r>
      <w:r>
        <w:rPr>
          <w:rFonts w:cstheme="minorHAnsi"/>
        </w:rPr>
        <w:t>P</w:t>
      </w:r>
      <w:r w:rsidRPr="00E2069A">
        <w:rPr>
          <w:rFonts w:cstheme="minorHAnsi"/>
        </w:rPr>
        <w:t>areiškėjo senelio (senelių) išvykimo ar galimo pasitraukimo iš Lietuvos 1938 m</w:t>
      </w:r>
      <w:r>
        <w:rPr>
          <w:rFonts w:cstheme="minorHAnsi"/>
        </w:rPr>
        <w:t xml:space="preserve">etais </w:t>
      </w:r>
      <w:r w:rsidRPr="00E2069A">
        <w:rPr>
          <w:rFonts w:cstheme="minorHAnsi"/>
        </w:rPr>
        <w:t>aplinkybė, net jei ji būtų laikoma įrodyta, niekaip negali pakeisti pareiškėjo teisinės padėties Lietuvos Respublikos pilietybės netekimo aspektu (galėjimo turėti dviejų valstybių pilietybes kontekste), kai nėra ginčo dėl pareiškėjo gimimo Lietuvoje 1978 m</w:t>
      </w:r>
      <w:r>
        <w:rPr>
          <w:rFonts w:cstheme="minorHAnsi"/>
        </w:rPr>
        <w:t>etais</w:t>
      </w:r>
      <w:r w:rsidRPr="00E2069A">
        <w:rPr>
          <w:rFonts w:cstheme="minorHAnsi"/>
        </w:rPr>
        <w:t xml:space="preserve"> ir jo tėvų nuolatinės gyvenamosios vietos buvimo Lietuvoje 1990 m. kovo 11 d. </w:t>
      </w:r>
      <w:r>
        <w:rPr>
          <w:rFonts w:cstheme="minorHAnsi"/>
        </w:rPr>
        <w:t>P</w:t>
      </w:r>
      <w:r w:rsidRPr="000B2DB8">
        <w:rPr>
          <w:rFonts w:cstheme="minorHAnsi"/>
        </w:rPr>
        <w:t>areiškėjas, turėdamas dviejų valstybių pilietybes ir apie tai neinformuodamas Lietuvos Respublikos jos teisės aktų nustatyta tvarka netgi kelis kartus būdamas paragint</w:t>
      </w:r>
      <w:r>
        <w:rPr>
          <w:rFonts w:cstheme="minorHAnsi"/>
        </w:rPr>
        <w:t>as</w:t>
      </w:r>
      <w:r w:rsidRPr="000B2DB8">
        <w:rPr>
          <w:rFonts w:cstheme="minorHAnsi"/>
        </w:rPr>
        <w:t>, pats sukūrė prielaidas savo netikrumui dėl galimybės būti Lietuvos Respublikos piliečiu ir Rusijos Federacijos piliečiu konstituciškai ribotos išimties tvarka. Tokios galimybės konstituciniai ribojimai, kuriuos Lietuvoje bandyta sušvelninti 2019 m. gegužės 12</w:t>
      </w:r>
      <w:r w:rsidR="000F0961">
        <w:rPr>
          <w:rFonts w:cstheme="minorHAnsi"/>
        </w:rPr>
        <w:t xml:space="preserve"> </w:t>
      </w:r>
      <w:r w:rsidRPr="000B2DB8">
        <w:rPr>
          <w:rFonts w:cstheme="minorHAnsi"/>
        </w:rPr>
        <w:t>d. surengtu referendumu, ir su tuo susiję Lietuvos visuomenėje bei išeivijoje kilę debatai neabejotinai turėjo būti žinomi Lietuvos Respublikos pilietybę 2019–2021 m</w:t>
      </w:r>
      <w:r>
        <w:rPr>
          <w:rFonts w:cstheme="minorHAnsi"/>
        </w:rPr>
        <w:t>etais</w:t>
      </w:r>
      <w:r w:rsidRPr="000B2DB8">
        <w:rPr>
          <w:rFonts w:cstheme="minorHAnsi"/>
        </w:rPr>
        <w:t xml:space="preserve"> turėjusiam pareiškėjui.</w:t>
      </w:r>
    </w:p>
    <w:p w14:paraId="315C88CB" w14:textId="77EAAB55" w:rsidR="009A7DB2" w:rsidRDefault="009A7DB2" w:rsidP="009A7DB2">
      <w:pPr>
        <w:pStyle w:val="NoSpacing"/>
        <w:ind w:firstLine="567"/>
        <w:jc w:val="both"/>
        <w:rPr>
          <w:rFonts w:cstheme="minorHAnsi"/>
        </w:rPr>
      </w:pPr>
      <w:r>
        <w:rPr>
          <w:rFonts w:cstheme="minorHAnsi"/>
        </w:rPr>
        <w:t xml:space="preserve">LVAT taip pat pažymėjo, jog </w:t>
      </w:r>
      <w:r w:rsidRPr="00E02C88">
        <w:rPr>
          <w:rFonts w:cstheme="minorHAnsi"/>
        </w:rPr>
        <w:t>pareiškėjas, skundžiam</w:t>
      </w:r>
      <w:r>
        <w:rPr>
          <w:rFonts w:cstheme="minorHAnsi"/>
        </w:rPr>
        <w:t>u</w:t>
      </w:r>
      <w:r w:rsidRPr="00E02C88">
        <w:rPr>
          <w:rFonts w:cstheme="minorHAnsi"/>
        </w:rPr>
        <w:t xml:space="preserve"> </w:t>
      </w:r>
      <w:r>
        <w:rPr>
          <w:rFonts w:cstheme="minorHAnsi"/>
        </w:rPr>
        <w:t>į</w:t>
      </w:r>
      <w:r w:rsidRPr="00E02C88">
        <w:rPr>
          <w:rFonts w:cstheme="minorHAnsi"/>
        </w:rPr>
        <w:t>sakym</w:t>
      </w:r>
      <w:r>
        <w:rPr>
          <w:rFonts w:cstheme="minorHAnsi"/>
        </w:rPr>
        <w:t xml:space="preserve">u </w:t>
      </w:r>
      <w:r w:rsidRPr="00E02C88">
        <w:rPr>
          <w:rFonts w:cstheme="minorHAnsi"/>
        </w:rPr>
        <w:t xml:space="preserve">netekdamas Lietuvos Respublikos pilietybės, kartu neteko </w:t>
      </w:r>
      <w:r>
        <w:rPr>
          <w:rFonts w:cstheme="minorHAnsi"/>
        </w:rPr>
        <w:t>ES</w:t>
      </w:r>
      <w:r w:rsidRPr="00E02C88">
        <w:rPr>
          <w:rFonts w:cstheme="minorHAnsi"/>
        </w:rPr>
        <w:t xml:space="preserve"> pilietybės, kurią įgijo ir turėjo, būdamas Lietuvos Respublikos piliečiu</w:t>
      </w:r>
      <w:r>
        <w:rPr>
          <w:rFonts w:cstheme="minorHAnsi"/>
        </w:rPr>
        <w:t xml:space="preserve">, t. y. </w:t>
      </w:r>
      <w:r w:rsidRPr="00E02C88">
        <w:rPr>
          <w:rFonts w:cstheme="minorHAnsi"/>
        </w:rPr>
        <w:t>neteko</w:t>
      </w:r>
      <w:r>
        <w:rPr>
          <w:rFonts w:cstheme="minorHAnsi"/>
        </w:rPr>
        <w:t xml:space="preserve"> ES</w:t>
      </w:r>
      <w:r w:rsidRPr="00E02C88">
        <w:rPr>
          <w:rFonts w:cstheme="minorHAnsi"/>
        </w:rPr>
        <w:t xml:space="preserve"> piliečio statuso ir jam priskiriamų (su juo susijusių) teisių.</w:t>
      </w:r>
      <w:r>
        <w:rPr>
          <w:rFonts w:cstheme="minorHAnsi"/>
        </w:rPr>
        <w:t xml:space="preserve"> Šiuo aspektu byloje atkreiptas dėmesys, kad </w:t>
      </w:r>
      <w:r w:rsidRPr="003A108D">
        <w:rPr>
          <w:rFonts w:cstheme="minorHAnsi"/>
          <w:u w:val="single"/>
        </w:rPr>
        <w:t>ES pilietybė – tai ES pirminės teisės institutas, kylantis iš SESV. ES teisėje niekada nebuvo siekiama paveikti valstybių narių kompetencijos nustatyti pilietybės įgijimo ir netekimo sąlygas, o ESTT niekada nekvestionavo šios valstybių narių kompetencijos. Vis dėlto, MD ir Ministerijai priskirtina pareiga sistemiškai ir savo iniciatyva nagrinėti pareiškėjo, kaip ES piliečio, teisių galimą pažeidimą, galėjusį susidaryti po valstybės narės pilietybės netekimo įvykus ES pilietybės netekimui, t. y. įvertinti, ar buvo pakenkta SESV 21</w:t>
      </w:r>
      <w:r w:rsidR="000F0961">
        <w:rPr>
          <w:rFonts w:cstheme="minorHAnsi"/>
          <w:u w:val="single"/>
        </w:rPr>
        <w:t xml:space="preserve"> </w:t>
      </w:r>
      <w:r w:rsidRPr="003A108D">
        <w:rPr>
          <w:rFonts w:cstheme="minorHAnsi"/>
          <w:u w:val="single"/>
        </w:rPr>
        <w:t>straipsnio 1 dalies veiksmingumui</w:t>
      </w:r>
      <w:r w:rsidRPr="003104C2">
        <w:rPr>
          <w:rFonts w:cstheme="minorHAnsi"/>
        </w:rPr>
        <w:t xml:space="preserve">, jeigu dėl </w:t>
      </w:r>
      <w:r>
        <w:rPr>
          <w:rFonts w:cstheme="minorHAnsi"/>
        </w:rPr>
        <w:t>ši</w:t>
      </w:r>
      <w:r w:rsidRPr="003104C2">
        <w:rPr>
          <w:rFonts w:cstheme="minorHAnsi"/>
        </w:rPr>
        <w:t xml:space="preserve">os pareigos nevykdymo pareiškėjui sutrukdyta pasiremti įrodymais, patvirtinančiais skundžiamo </w:t>
      </w:r>
      <w:r>
        <w:rPr>
          <w:rFonts w:cstheme="minorHAnsi"/>
        </w:rPr>
        <w:t>įs</w:t>
      </w:r>
      <w:r w:rsidRPr="003104C2">
        <w:rPr>
          <w:rFonts w:cstheme="minorHAnsi"/>
        </w:rPr>
        <w:t>akymo neatitikimą proporcingumo principui</w:t>
      </w:r>
      <w:r>
        <w:rPr>
          <w:rFonts w:cstheme="minorHAnsi"/>
        </w:rPr>
        <w:t>. Tačiau, n</w:t>
      </w:r>
      <w:r w:rsidRPr="009D7146">
        <w:rPr>
          <w:rFonts w:cstheme="minorHAnsi"/>
        </w:rPr>
        <w:t xml:space="preserve">ors </w:t>
      </w:r>
      <w:r w:rsidRPr="003A108D">
        <w:rPr>
          <w:rFonts w:cstheme="minorHAnsi"/>
          <w:u w:val="single"/>
        </w:rPr>
        <w:t>nacionalinėms valdžios institucijoms pagal taikytinus nacionalinės teisės aktus ketinant priimti sprendimą dėl valstybės narės pilietybės netekimo būtina vertinti ir įsitikinti, ar toks sprendimas faktiškai nesukels neproporcingų pasekmių</w:t>
      </w:r>
      <w:r w:rsidRPr="009D7146">
        <w:rPr>
          <w:rFonts w:cstheme="minorHAnsi"/>
        </w:rPr>
        <w:t xml:space="preserve">, toks neįvykęs vertinimas byloje esančiuose </w:t>
      </w:r>
      <w:r>
        <w:rPr>
          <w:rFonts w:cstheme="minorHAnsi"/>
        </w:rPr>
        <w:t>MD</w:t>
      </w:r>
      <w:r w:rsidRPr="009D7146">
        <w:rPr>
          <w:rFonts w:cstheme="minorHAnsi"/>
        </w:rPr>
        <w:t xml:space="preserve"> ir </w:t>
      </w:r>
      <w:r>
        <w:rPr>
          <w:rFonts w:cstheme="minorHAnsi"/>
        </w:rPr>
        <w:t>Ministerijos</w:t>
      </w:r>
      <w:r w:rsidRPr="009D7146">
        <w:rPr>
          <w:rFonts w:cstheme="minorHAnsi"/>
        </w:rPr>
        <w:t xml:space="preserve"> aktuose buvo nulemtas pareiškėjo pareigų nevykdymo ir nebendradarbiavimo. Be to, </w:t>
      </w:r>
      <w:r>
        <w:rPr>
          <w:rFonts w:cstheme="minorHAnsi"/>
        </w:rPr>
        <w:t>MD</w:t>
      </w:r>
      <w:r w:rsidRPr="009D7146">
        <w:rPr>
          <w:rFonts w:cstheme="minorHAnsi"/>
        </w:rPr>
        <w:t xml:space="preserve"> surinkta ir </w:t>
      </w:r>
      <w:r>
        <w:rPr>
          <w:rFonts w:cstheme="minorHAnsi"/>
        </w:rPr>
        <w:t>Ministerijos</w:t>
      </w:r>
      <w:r w:rsidRPr="009D7146">
        <w:rPr>
          <w:rFonts w:cstheme="minorHAnsi"/>
        </w:rPr>
        <w:t xml:space="preserve"> turėta informacija apie pareiškėjo Maskvoje sudarytą santuoką, vykdomą ūkinę veiklą gyvenamųjų namų statyb</w:t>
      </w:r>
      <w:r>
        <w:rPr>
          <w:rFonts w:cstheme="minorHAnsi"/>
        </w:rPr>
        <w:t>os</w:t>
      </w:r>
      <w:r w:rsidRPr="009D7146">
        <w:rPr>
          <w:rFonts w:cstheme="minorHAnsi"/>
        </w:rPr>
        <w:t xml:space="preserve"> (nekilnojamojo turo plėtojimo) srityje bei įgytą (turimą) Rusijos Federacijos pilietybę sudarė pakankamas prielaidas šių institucijų įsitikinimui, kad Lietuvos Respublikos pilietybės netekimas, </w:t>
      </w:r>
      <w:r w:rsidRPr="009D7146">
        <w:rPr>
          <w:rFonts w:cstheme="minorHAnsi"/>
        </w:rPr>
        <w:lastRenderedPageBreak/>
        <w:t xml:space="preserve">sukelsiantis </w:t>
      </w:r>
      <w:r>
        <w:rPr>
          <w:rFonts w:cstheme="minorHAnsi"/>
        </w:rPr>
        <w:t>ES</w:t>
      </w:r>
      <w:r w:rsidRPr="009D7146">
        <w:rPr>
          <w:rFonts w:cstheme="minorHAnsi"/>
        </w:rPr>
        <w:t xml:space="preserve"> pilietybės netekimą, nesukels neproporcingų padarinių pareiškėjo Maskvoje sudarytai santuokai ir vykdomai ūkinei veiklai bei įgytai (turimai) Rusijos Federacijos pilietybei, taip pat galimybei nustatyta bendra tvarka aplankyti tėvus (vieną iš tėvų) bei artimuosius Lietuvoje.</w:t>
      </w:r>
    </w:p>
    <w:p w14:paraId="45F89263" w14:textId="48578DA2" w:rsidR="009A7DB2" w:rsidRDefault="009A7DB2" w:rsidP="009A7DB2">
      <w:pPr>
        <w:pStyle w:val="NoSpacing"/>
        <w:ind w:firstLine="567"/>
        <w:jc w:val="both"/>
        <w:rPr>
          <w:rFonts w:cstheme="minorHAnsi"/>
        </w:rPr>
      </w:pPr>
      <w:r>
        <w:rPr>
          <w:rFonts w:cstheme="minorHAnsi"/>
        </w:rPr>
        <w:t>LVAT vertinimu, MD,</w:t>
      </w:r>
      <w:r w:rsidRPr="00AB0B5B">
        <w:rPr>
          <w:rFonts w:cstheme="minorHAnsi"/>
        </w:rPr>
        <w:t xml:space="preserve"> po pakartotinių kreipimųsi į pareiškėją nesulaukęs jo reagavimo (bendradarbiavimo) ir gavęs pakankamus jo paprašytus kitų Lietuvos valstybės įstaigų turimus archyvinius duomenis apie pareiškėjo tėvus ir senelius, turėjo pakankamą faktinį ir teisinį pagrindą netęsti pastangų susisiekti su nebendradarbiaujančiu pareiškėju ir inicijuoti pareiškėjo turėtos Lietuvos Respublikos pilietybės netekimo procedūrą. Vien tai, kad pareiškėjas </w:t>
      </w:r>
      <w:r>
        <w:rPr>
          <w:rFonts w:cstheme="minorHAnsi"/>
        </w:rPr>
        <w:t>MD</w:t>
      </w:r>
      <w:r w:rsidRPr="00AB0B5B">
        <w:rPr>
          <w:rFonts w:cstheme="minorHAnsi"/>
        </w:rPr>
        <w:t xml:space="preserve"> pranešime nebuvo papildomai informuotas, kad jam nepateikus pranešimo ir trūkstamų dokumentų taikomos Lietuvos Respublikos pilietybės netekimo, įgijus kitos valstybės pilietybę, procedūr</w:t>
      </w:r>
      <w:r>
        <w:rPr>
          <w:rFonts w:cstheme="minorHAnsi"/>
        </w:rPr>
        <w:t>os</w:t>
      </w:r>
      <w:r w:rsidRPr="00AB0B5B">
        <w:rPr>
          <w:rFonts w:cstheme="minorHAnsi"/>
        </w:rPr>
        <w:t xml:space="preserve"> nulems (sukels) jo turėto </w:t>
      </w:r>
      <w:r>
        <w:rPr>
          <w:rFonts w:cstheme="minorHAnsi"/>
        </w:rPr>
        <w:t>ES</w:t>
      </w:r>
      <w:r w:rsidRPr="00AB0B5B">
        <w:rPr>
          <w:rFonts w:cstheme="minorHAnsi"/>
        </w:rPr>
        <w:t xml:space="preserve"> piliečio statuso ir jam priskiriamų teisių netekimą, </w:t>
      </w:r>
      <w:r>
        <w:rPr>
          <w:rFonts w:cstheme="minorHAnsi"/>
        </w:rPr>
        <w:t>aptariamos bylos atveju</w:t>
      </w:r>
      <w:r w:rsidRPr="00AB0B5B">
        <w:rPr>
          <w:rFonts w:cstheme="minorHAnsi"/>
        </w:rPr>
        <w:t xml:space="preserve"> pagal faktinių aplinkybių visumą ir ekstraordinarinį geopolitinį kontekstą 2022 m</w:t>
      </w:r>
      <w:r>
        <w:rPr>
          <w:rFonts w:cstheme="minorHAnsi"/>
        </w:rPr>
        <w:t>etais</w:t>
      </w:r>
      <w:r w:rsidRPr="00AB0B5B">
        <w:rPr>
          <w:rFonts w:cstheme="minorHAnsi"/>
        </w:rPr>
        <w:t xml:space="preserve"> nesudar</w:t>
      </w:r>
      <w:r>
        <w:rPr>
          <w:rFonts w:cstheme="minorHAnsi"/>
        </w:rPr>
        <w:t xml:space="preserve">ė </w:t>
      </w:r>
      <w:r w:rsidRPr="00AB0B5B">
        <w:rPr>
          <w:rFonts w:cstheme="minorHAnsi"/>
        </w:rPr>
        <w:t xml:space="preserve">pakankamo pagrindo nustatyti, kad </w:t>
      </w:r>
      <w:r>
        <w:rPr>
          <w:rFonts w:cstheme="minorHAnsi"/>
        </w:rPr>
        <w:t>MD</w:t>
      </w:r>
      <w:r w:rsidRPr="00AB0B5B">
        <w:rPr>
          <w:rFonts w:cstheme="minorHAnsi"/>
        </w:rPr>
        <w:t xml:space="preserve"> ir </w:t>
      </w:r>
      <w:r>
        <w:rPr>
          <w:rFonts w:cstheme="minorHAnsi"/>
        </w:rPr>
        <w:t>Ministerijos</w:t>
      </w:r>
      <w:r w:rsidRPr="00AB0B5B">
        <w:rPr>
          <w:rFonts w:cstheme="minorHAnsi"/>
        </w:rPr>
        <w:t xml:space="preserve"> veiksmuose, atliktuose taikant Lietuvos teisės aktus, susidar</w:t>
      </w:r>
      <w:r>
        <w:rPr>
          <w:rFonts w:cstheme="minorHAnsi"/>
        </w:rPr>
        <w:t>ė</w:t>
      </w:r>
      <w:r w:rsidRPr="00AB0B5B">
        <w:rPr>
          <w:rFonts w:cstheme="minorHAnsi"/>
        </w:rPr>
        <w:t xml:space="preserve"> automatinis pilietybės santykių nutraukimas.</w:t>
      </w:r>
    </w:p>
    <w:p w14:paraId="6C14B41B" w14:textId="77777777" w:rsidR="009A7DB2" w:rsidRDefault="009A7DB2" w:rsidP="009A7DB2">
      <w:pPr>
        <w:pStyle w:val="NoSpacing"/>
        <w:ind w:firstLine="567"/>
        <w:jc w:val="both"/>
        <w:rPr>
          <w:rFonts w:cstheme="minorHAnsi"/>
        </w:rPr>
      </w:pPr>
      <w:r>
        <w:rPr>
          <w:rFonts w:cstheme="minorHAnsi"/>
        </w:rPr>
        <w:t>LVAT atmetė pareiškėjo apeliacinį skundą.</w:t>
      </w:r>
    </w:p>
    <w:p w14:paraId="714E6F55" w14:textId="77777777" w:rsidR="009A7DB2" w:rsidRDefault="009A7DB2" w:rsidP="009A7DB2">
      <w:pPr>
        <w:pStyle w:val="NoSpacing"/>
        <w:ind w:firstLine="567"/>
        <w:jc w:val="both"/>
        <w:rPr>
          <w:rFonts w:cstheme="minorHAnsi"/>
        </w:rPr>
      </w:pPr>
    </w:p>
    <w:p w14:paraId="69121613" w14:textId="77777777" w:rsidR="009A7DB2" w:rsidRPr="00E81924" w:rsidRDefault="009A7DB2" w:rsidP="009A7DB2">
      <w:pPr>
        <w:pStyle w:val="NoSpacing"/>
        <w:jc w:val="both"/>
        <w:rPr>
          <w:rFonts w:cstheme="minorHAnsi"/>
        </w:rPr>
      </w:pPr>
      <w:r w:rsidRPr="00A16236">
        <w:rPr>
          <w:rFonts w:cstheme="minorHAnsi"/>
        </w:rPr>
        <w:t xml:space="preserve">2024 m. </w:t>
      </w:r>
      <w:r>
        <w:rPr>
          <w:rFonts w:cstheme="minorHAnsi"/>
        </w:rPr>
        <w:t>lapkričio 27</w:t>
      </w:r>
      <w:r w:rsidRPr="00A16236">
        <w:rPr>
          <w:rFonts w:cstheme="minorHAnsi"/>
        </w:rPr>
        <w:t xml:space="preserve"> d.</w:t>
      </w:r>
      <w:r>
        <w:rPr>
          <w:rFonts w:cstheme="minorHAnsi"/>
        </w:rPr>
        <w:t xml:space="preserve"> nutartis </w:t>
      </w:r>
      <w:r w:rsidRPr="00E81924">
        <w:rPr>
          <w:rFonts w:cstheme="minorHAnsi"/>
        </w:rPr>
        <w:t xml:space="preserve">administracinėje byloje Nr. </w:t>
      </w:r>
      <w:r w:rsidRPr="002E4EFD">
        <w:rPr>
          <w:rFonts w:cstheme="minorHAnsi"/>
        </w:rPr>
        <w:t>eA-2200-1188/2024</w:t>
      </w:r>
    </w:p>
    <w:p w14:paraId="75E5BD07" w14:textId="77777777" w:rsidR="009A7DB2" w:rsidRPr="00E81924" w:rsidRDefault="009A7DB2" w:rsidP="009A7DB2">
      <w:pPr>
        <w:pStyle w:val="NoSpacing"/>
        <w:jc w:val="both"/>
        <w:rPr>
          <w:rFonts w:cstheme="minorHAnsi"/>
        </w:rPr>
      </w:pPr>
      <w:r w:rsidRPr="00E81924">
        <w:rPr>
          <w:rFonts w:cstheme="minorHAnsi"/>
        </w:rPr>
        <w:t xml:space="preserve">Teisminio proceso Nr. </w:t>
      </w:r>
      <w:r w:rsidRPr="002E4EFD">
        <w:rPr>
          <w:rFonts w:cstheme="minorHAnsi"/>
        </w:rPr>
        <w:t>3-61-3-00076-2023-3</w:t>
      </w:r>
    </w:p>
    <w:p w14:paraId="0991A57D" w14:textId="77777777" w:rsidR="009A7DB2" w:rsidRDefault="009A7DB2" w:rsidP="009A7DB2">
      <w:pPr>
        <w:pStyle w:val="NoSpacing"/>
        <w:jc w:val="both"/>
        <w:rPr>
          <w:rFonts w:cstheme="minorHAnsi"/>
        </w:rPr>
      </w:pPr>
      <w:hyperlink r:id="rId19" w:history="1">
        <w:r w:rsidRPr="001420AC">
          <w:rPr>
            <w:rStyle w:val="Hyperlink"/>
            <w:rFonts w:cstheme="minorHAnsi"/>
          </w:rPr>
          <w:t>Prieiga internete</w:t>
        </w:r>
      </w:hyperlink>
    </w:p>
    <w:p w14:paraId="5F5274B6" w14:textId="77777777" w:rsidR="00D57BAE" w:rsidRPr="003756A5" w:rsidRDefault="00D57BAE" w:rsidP="00A32A5C">
      <w:pPr>
        <w:ind w:firstLine="567"/>
        <w:rPr>
          <w:rFonts w:asciiTheme="minorHAnsi" w:hAnsiTheme="minorHAnsi" w:cstheme="minorHAnsi"/>
          <w:sz w:val="22"/>
          <w:szCs w:val="22"/>
        </w:rPr>
      </w:pPr>
    </w:p>
    <w:p w14:paraId="2F7A583E" w14:textId="77777777" w:rsidR="00113E12" w:rsidRPr="001D6202" w:rsidRDefault="00113E12" w:rsidP="001D6202">
      <w:pPr>
        <w:pStyle w:val="Apzvalgai1"/>
        <w:rPr>
          <w:rFonts w:asciiTheme="minorHAnsi" w:hAnsiTheme="minorHAnsi" w:cstheme="minorHAnsi"/>
        </w:rPr>
      </w:pPr>
      <w:bookmarkStart w:id="30" w:name="_Toc187075142"/>
      <w:r w:rsidRPr="001D6202">
        <w:rPr>
          <w:rFonts w:asciiTheme="minorHAnsi" w:hAnsiTheme="minorHAnsi" w:cstheme="minorHAnsi"/>
        </w:rPr>
        <w:t>11. Konkurencija</w:t>
      </w:r>
      <w:bookmarkEnd w:id="30"/>
    </w:p>
    <w:p w14:paraId="03980EA8" w14:textId="77777777" w:rsidR="00113E12" w:rsidRPr="003756A5" w:rsidRDefault="00113E12" w:rsidP="00113E12">
      <w:pPr>
        <w:ind w:firstLine="567"/>
        <w:jc w:val="both"/>
        <w:rPr>
          <w:rFonts w:asciiTheme="minorHAnsi" w:hAnsiTheme="minorHAnsi" w:cstheme="minorHAnsi"/>
          <w:b/>
          <w:bCs/>
          <w:sz w:val="22"/>
          <w:szCs w:val="22"/>
          <w:u w:val="single"/>
        </w:rPr>
      </w:pPr>
      <w:r w:rsidRPr="003756A5">
        <w:rPr>
          <w:rFonts w:asciiTheme="minorHAnsi" w:hAnsiTheme="minorHAnsi" w:cstheme="minorHAnsi"/>
          <w:b/>
          <w:bCs/>
          <w:sz w:val="22"/>
          <w:szCs w:val="22"/>
          <w:u w:val="single"/>
        </w:rPr>
        <w:t>11.2. Draudžiami susitarimai</w:t>
      </w:r>
    </w:p>
    <w:p w14:paraId="1B40C8E8" w14:textId="77777777" w:rsidR="00113E12" w:rsidRPr="003756A5" w:rsidRDefault="00113E12" w:rsidP="00113E12">
      <w:pPr>
        <w:jc w:val="both"/>
        <w:rPr>
          <w:rFonts w:asciiTheme="minorHAnsi" w:hAnsiTheme="minorHAnsi" w:cstheme="minorHAnsi"/>
          <w:b/>
          <w:bCs/>
          <w:sz w:val="22"/>
          <w:szCs w:val="22"/>
          <w:u w:val="single"/>
        </w:rPr>
      </w:pPr>
    </w:p>
    <w:p w14:paraId="6F638D08" w14:textId="48F947FD" w:rsidR="00A77F34" w:rsidRPr="00A77F34" w:rsidRDefault="00A77F34" w:rsidP="00783C1A">
      <w:pPr>
        <w:jc w:val="both"/>
        <w:outlineLvl w:val="1"/>
        <w:rPr>
          <w:rFonts w:asciiTheme="minorHAnsi" w:eastAsia="Calibri" w:hAnsiTheme="minorHAnsi" w:cstheme="minorHAnsi"/>
          <w:i/>
          <w:sz w:val="22"/>
          <w:szCs w:val="22"/>
        </w:rPr>
      </w:pPr>
      <w:bookmarkStart w:id="31" w:name="_Toc187075143"/>
      <w:r w:rsidRPr="00A77F34">
        <w:rPr>
          <w:rFonts w:asciiTheme="minorHAnsi" w:eastAsia="Calibri" w:hAnsiTheme="minorHAnsi" w:cstheme="minorHAnsi"/>
          <w:i/>
          <w:sz w:val="22"/>
          <w:szCs w:val="22"/>
        </w:rPr>
        <w:t>Dėl Notarų rūmų išaiškinimų, susijusių su atlyginimo už notarinių veiksmų atlikimą skaičiavimu, vertinimo konkurencijos teisės požiūriu</w:t>
      </w:r>
      <w:bookmarkEnd w:id="31"/>
    </w:p>
    <w:p w14:paraId="1999B5DD" w14:textId="59266A3C" w:rsidR="00D76C55" w:rsidRPr="00783C1A" w:rsidRDefault="00D76C55" w:rsidP="00783C1A">
      <w:pPr>
        <w:rPr>
          <w:sz w:val="22"/>
          <w:szCs w:val="22"/>
        </w:rPr>
      </w:pPr>
    </w:p>
    <w:p w14:paraId="38E2A02C" w14:textId="77777777" w:rsidR="00D76C55" w:rsidRPr="00D76C55" w:rsidRDefault="00D76C55" w:rsidP="00D76C55">
      <w:pPr>
        <w:ind w:firstLine="567"/>
        <w:jc w:val="both"/>
        <w:rPr>
          <w:rFonts w:asciiTheme="minorHAnsi" w:hAnsiTheme="minorHAnsi" w:cstheme="minorHAnsi"/>
          <w:sz w:val="22"/>
          <w:szCs w:val="22"/>
        </w:rPr>
      </w:pPr>
      <w:r w:rsidRPr="00D76C55">
        <w:rPr>
          <w:rFonts w:asciiTheme="minorHAnsi" w:hAnsiTheme="minorHAnsi" w:cstheme="minorHAnsi"/>
          <w:sz w:val="22"/>
          <w:szCs w:val="22"/>
        </w:rPr>
        <w:t>Byloje nagrinėtas ginčas dėl Konkurencijos tarybos nutarimo, kuriuo nuspręsta, jog Lietuvos notarų rūmai (toliau – Notarų rūmai) ir jų prezidiumo nariai pažeidė Konkurencijos įstatymo ir SESV reikalavimus.</w:t>
      </w:r>
    </w:p>
    <w:p w14:paraId="69279D5C" w14:textId="77777777" w:rsidR="00D76C55" w:rsidRPr="00D76C55" w:rsidRDefault="00D76C55" w:rsidP="00D76C55">
      <w:pPr>
        <w:ind w:firstLine="567"/>
        <w:jc w:val="both"/>
        <w:rPr>
          <w:rFonts w:asciiTheme="minorHAnsi" w:hAnsiTheme="minorHAnsi" w:cstheme="minorHAnsi"/>
          <w:sz w:val="22"/>
          <w:szCs w:val="22"/>
        </w:rPr>
      </w:pPr>
      <w:r w:rsidRPr="00D76C55">
        <w:rPr>
          <w:rFonts w:asciiTheme="minorHAnsi" w:hAnsiTheme="minorHAnsi" w:cstheme="minorHAnsi"/>
          <w:sz w:val="22"/>
          <w:szCs w:val="22"/>
        </w:rPr>
        <w:t>Notarų rūmų prezidiumo nutarimais buvo patvirtinti išaiškinimai dėl skaičiuotino atlyginimo notarams, imamo už šiuos veiksmus: 1) hipotekos (įkeitimo) sandorių tvirtinimą ir vykdomųjų įrašų atlikimą tais atvejais, kai sandorio šalys nenurodo įkeičiamo objekto vertės, taip pat tais atvejais, kai vienu hipotekos sandoriu įkeičiami keli nekilnojamieji daiktai; 2) notarinių veiksmų atlikimą, sandorių projektų parengimą, konsultacijas ir technines paslaugas tais atvejais, kai viena sutartimi nustatomas servitutas keliems nekilnojamiems daiktams; 3) mainų sutarties patvirtinimą tais atvejais, kai viena sutartimi mainomos kelių daiktų dalys.</w:t>
      </w:r>
    </w:p>
    <w:p w14:paraId="2FCCC969" w14:textId="77777777" w:rsidR="00D76C55" w:rsidRPr="00D76C55" w:rsidRDefault="00D76C55" w:rsidP="00D76C55">
      <w:pPr>
        <w:ind w:firstLine="567"/>
        <w:jc w:val="both"/>
        <w:rPr>
          <w:rFonts w:asciiTheme="minorHAnsi" w:hAnsiTheme="minorHAnsi" w:cstheme="minorHAnsi"/>
          <w:sz w:val="22"/>
          <w:szCs w:val="22"/>
        </w:rPr>
      </w:pPr>
      <w:r w:rsidRPr="00D76C55">
        <w:rPr>
          <w:rFonts w:asciiTheme="minorHAnsi" w:hAnsiTheme="minorHAnsi" w:cstheme="minorHAnsi"/>
          <w:sz w:val="22"/>
          <w:szCs w:val="22"/>
        </w:rPr>
        <w:t>Konkurencijos tarybos vertinimu, priėmę šiuos išaiškinimus, kuriais buvo nustatyti atlyginimo dydžiai už tam tikrų notarinių veiksmų atlikimą, Notarų rūmai ir jų prezidiumo nariai sudarė draudžiamą susitarimą, kurio tikslas buvo apriboti notarų konkurenciją.</w:t>
      </w:r>
    </w:p>
    <w:p w14:paraId="5E5785B4" w14:textId="77777777" w:rsidR="00D76C55" w:rsidRPr="00D76C55" w:rsidRDefault="00D76C55" w:rsidP="00D76C55">
      <w:pPr>
        <w:ind w:firstLine="567"/>
        <w:jc w:val="both"/>
        <w:rPr>
          <w:rFonts w:asciiTheme="minorHAnsi" w:hAnsiTheme="minorHAnsi" w:cstheme="minorHAnsi"/>
          <w:sz w:val="22"/>
          <w:szCs w:val="22"/>
        </w:rPr>
      </w:pPr>
      <w:r w:rsidRPr="00D76C55">
        <w:rPr>
          <w:rFonts w:asciiTheme="minorHAnsi" w:hAnsiTheme="minorHAnsi" w:cstheme="minorHAnsi"/>
          <w:sz w:val="22"/>
          <w:szCs w:val="22"/>
        </w:rPr>
        <w:t>Pirmosios instancijos teismas patenkino Notarų rūmų ir jų prezidiumo narių skundą. Nesutikdama su teismo sprendimu, Konkurencijos taryba LVAT padavė apeliacinį skundą.</w:t>
      </w:r>
    </w:p>
    <w:p w14:paraId="5EB12BF2" w14:textId="2EF0CAE9" w:rsidR="00D76C55" w:rsidRPr="00D76C55" w:rsidRDefault="00D76C55" w:rsidP="00D76C55">
      <w:pPr>
        <w:ind w:firstLine="567"/>
        <w:jc w:val="both"/>
        <w:rPr>
          <w:rFonts w:asciiTheme="minorHAnsi" w:hAnsiTheme="minorHAnsi" w:cstheme="minorHAnsi"/>
          <w:sz w:val="22"/>
          <w:szCs w:val="22"/>
        </w:rPr>
      </w:pPr>
      <w:r w:rsidRPr="00D76C55">
        <w:rPr>
          <w:rFonts w:asciiTheme="minorHAnsi" w:hAnsiTheme="minorHAnsi" w:cstheme="minorHAnsi"/>
          <w:sz w:val="22"/>
          <w:szCs w:val="22"/>
        </w:rPr>
        <w:t>LVAT, nagrinėdamas Konkurencijos tarybos apeliacinį skundą ir suabejojęs dėl Europos Sąjungos teisės aiškinimo ir taikymo ginčo atveju, ypač atsižvelgiant į specifinį notarų veiklos pobūdį, kreipėsi į ESTT, kuris priėmė 2024 m. sausio 18 d.</w:t>
      </w:r>
      <w:r w:rsidR="009A7E8B">
        <w:rPr>
          <w:rFonts w:asciiTheme="minorHAnsi" w:hAnsiTheme="minorHAnsi" w:cstheme="minorHAnsi"/>
          <w:sz w:val="22"/>
          <w:szCs w:val="22"/>
        </w:rPr>
        <w:t xml:space="preserve"> </w:t>
      </w:r>
      <w:r w:rsidRPr="00D76C55">
        <w:rPr>
          <w:rFonts w:asciiTheme="minorHAnsi" w:hAnsiTheme="minorHAnsi" w:cstheme="minorHAnsi"/>
          <w:sz w:val="22"/>
          <w:szCs w:val="22"/>
        </w:rPr>
        <w:t xml:space="preserve">sprendimą </w:t>
      </w:r>
      <w:r w:rsidR="009A7E8B">
        <w:rPr>
          <w:rFonts w:asciiTheme="minorHAnsi" w:hAnsiTheme="minorHAnsi" w:cstheme="minorHAnsi"/>
          <w:sz w:val="22"/>
          <w:szCs w:val="22"/>
        </w:rPr>
        <w:t xml:space="preserve">byloje </w:t>
      </w:r>
      <w:r w:rsidRPr="00D76C55">
        <w:rPr>
          <w:rFonts w:asciiTheme="minorHAnsi" w:hAnsiTheme="minorHAnsi" w:cstheme="minorHAnsi"/>
          <w:i/>
          <w:iCs/>
          <w:sz w:val="22"/>
          <w:szCs w:val="22"/>
        </w:rPr>
        <w:t>Lietuvos notarų rūmai ir kt.</w:t>
      </w:r>
      <w:r w:rsidR="009A7E8B">
        <w:rPr>
          <w:rFonts w:asciiTheme="minorHAnsi" w:hAnsiTheme="minorHAnsi" w:cstheme="minorHAnsi"/>
          <w:sz w:val="22"/>
          <w:szCs w:val="22"/>
        </w:rPr>
        <w:t>,</w:t>
      </w:r>
      <w:r w:rsidRPr="00D76C55">
        <w:rPr>
          <w:rFonts w:asciiTheme="minorHAnsi" w:hAnsiTheme="minorHAnsi" w:cstheme="minorHAnsi"/>
          <w:sz w:val="22"/>
          <w:szCs w:val="22"/>
        </w:rPr>
        <w:t xml:space="preserve"> C-128/21.</w:t>
      </w:r>
    </w:p>
    <w:p w14:paraId="4DEFCFC9" w14:textId="2909632B" w:rsidR="00D76C55" w:rsidRPr="00D76C55" w:rsidRDefault="00D76C55" w:rsidP="00D76C55">
      <w:pPr>
        <w:ind w:firstLine="567"/>
        <w:jc w:val="both"/>
        <w:rPr>
          <w:rFonts w:asciiTheme="minorHAnsi" w:hAnsiTheme="minorHAnsi" w:cstheme="minorHAnsi"/>
          <w:sz w:val="22"/>
          <w:szCs w:val="22"/>
        </w:rPr>
      </w:pPr>
      <w:r w:rsidRPr="00D76C55">
        <w:rPr>
          <w:rFonts w:asciiTheme="minorHAnsi" w:hAnsiTheme="minorHAnsi" w:cstheme="minorHAnsi"/>
          <w:sz w:val="22"/>
          <w:szCs w:val="22"/>
        </w:rPr>
        <w:t xml:space="preserve">Atsižvelgęs į ESTT pateiktus konkurencijos teisės išaiškinimus, LVAT konstatavo, jog notariniai veiksmai, dėl kurių Konkurencijos taryba išaiškinimus laikė draudžiamu susitarimu, nėra priskirtini viešosios valdžios funkcijoms, todėl byloje notarų veikla, dėl kurios priimti išaiškinimai, laikyta ekonomine veikla, o notarai pripažinti ūkio subjektais. Spręsdamas dėl priimtų išaiškinimų vertinimo, LVAT </w:t>
      </w:r>
      <w:r w:rsidR="009A7E8B">
        <w:rPr>
          <w:rFonts w:asciiTheme="minorHAnsi" w:hAnsiTheme="minorHAnsi" w:cstheme="minorHAnsi"/>
          <w:sz w:val="22"/>
          <w:szCs w:val="22"/>
        </w:rPr>
        <w:t>priėjo prie išvados</w:t>
      </w:r>
      <w:r w:rsidRPr="00D76C55">
        <w:rPr>
          <w:rFonts w:asciiTheme="minorHAnsi" w:hAnsiTheme="minorHAnsi" w:cstheme="minorHAnsi"/>
          <w:sz w:val="22"/>
          <w:szCs w:val="22"/>
        </w:rPr>
        <w:t xml:space="preserve">, jog </w:t>
      </w:r>
      <w:r w:rsidRPr="002D6426">
        <w:rPr>
          <w:rFonts w:asciiTheme="minorHAnsi" w:hAnsiTheme="minorHAnsi" w:cstheme="minorHAnsi"/>
          <w:sz w:val="22"/>
          <w:szCs w:val="22"/>
          <w:u w:val="single"/>
        </w:rPr>
        <w:t>išaiškinimai turi būti laikomi konkurencijos ribojimu pagal tikslą, t. y. susitarimu (asociacijos sprendimu), lėmusiu horizontalų atitinkamų paslaugų kainų nustatymą. Išaiškinimais notarams įtvirtinus atitinkamos notarinės paslaugos konkretaus atlyginimo apskaičiavimo būdą, taip pat tam tikroms paslaugoms nustačius maksimalų atlyginimo dydį, buvo panaikinta notarų diskrecija individualiai spręsti dėl konkrečiu atveju taikytino atlyginimo dydžio</w:t>
      </w:r>
      <w:r w:rsidRPr="00D76C55">
        <w:rPr>
          <w:rFonts w:asciiTheme="minorHAnsi" w:hAnsiTheme="minorHAnsi" w:cstheme="minorHAnsi"/>
          <w:sz w:val="22"/>
          <w:szCs w:val="22"/>
        </w:rPr>
        <w:t>. LVAT vertinimu, šis horizontalus atlyginimo nustatymo būdas objektyviai apribojo kiekvieno notaro savarankiškumą turimos diskrecijos ribose formuoti individualią kainodarą ir sudarė prielaidas šiuo aspektu notarams veikti vieningai, taikant tokius pačius įkainius.</w:t>
      </w:r>
    </w:p>
    <w:p w14:paraId="040328F1" w14:textId="501FEDE3" w:rsidR="00D76C55" w:rsidRPr="00D76C55" w:rsidRDefault="00D76C55" w:rsidP="00D76C55">
      <w:pPr>
        <w:ind w:firstLine="567"/>
        <w:jc w:val="both"/>
        <w:rPr>
          <w:rFonts w:asciiTheme="minorHAnsi" w:hAnsiTheme="minorHAnsi" w:cstheme="minorHAnsi"/>
          <w:sz w:val="22"/>
          <w:szCs w:val="22"/>
        </w:rPr>
      </w:pPr>
      <w:r w:rsidRPr="00D76C55">
        <w:rPr>
          <w:rFonts w:asciiTheme="minorHAnsi" w:hAnsiTheme="minorHAnsi" w:cstheme="minorHAnsi"/>
          <w:sz w:val="22"/>
          <w:szCs w:val="22"/>
        </w:rPr>
        <w:t xml:space="preserve">LVAT, įvertinęs ginčo faktines ir teisines aplinkybes, padarė išvadą, jog byloje identifikuota visuma aspektų, reikšmingų Konkurencijos įstatymo ir SESV pažeidimo konstatavimui. Tačiau pažymėjęs tai, jog </w:t>
      </w:r>
      <w:r w:rsidRPr="002D6426">
        <w:rPr>
          <w:rFonts w:asciiTheme="minorHAnsi" w:hAnsiTheme="minorHAnsi" w:cstheme="minorHAnsi"/>
          <w:sz w:val="22"/>
          <w:szCs w:val="22"/>
          <w:u w:val="single"/>
        </w:rPr>
        <w:t xml:space="preserve">Notarų </w:t>
      </w:r>
      <w:r w:rsidRPr="002D6426">
        <w:rPr>
          <w:rFonts w:asciiTheme="minorHAnsi" w:hAnsiTheme="minorHAnsi" w:cstheme="minorHAnsi"/>
          <w:sz w:val="22"/>
          <w:szCs w:val="22"/>
          <w:u w:val="single"/>
        </w:rPr>
        <w:lastRenderedPageBreak/>
        <w:t>rūmų prezidiumo nutarimai priimami vadovaujantis kolegialumo principu ir yra laikytini pačių Notarų rūmų, o ne individualių prezidiumo narių pozicijomis</w:t>
      </w:r>
      <w:r w:rsidRPr="00D76C55">
        <w:rPr>
          <w:rFonts w:asciiTheme="minorHAnsi" w:hAnsiTheme="minorHAnsi" w:cstheme="minorHAnsi"/>
          <w:sz w:val="22"/>
          <w:szCs w:val="22"/>
        </w:rPr>
        <w:t>, LVAT nepritarė Konkurencijos tarybai tuo aspektu, jog Notarų rūmų prezidiumo nariai laikytini atsakomybės už nustatytą pažeidimą subjekta</w:t>
      </w:r>
      <w:r w:rsidR="00FC1B89">
        <w:rPr>
          <w:rFonts w:asciiTheme="minorHAnsi" w:hAnsiTheme="minorHAnsi" w:cstheme="minorHAnsi"/>
          <w:sz w:val="22"/>
          <w:szCs w:val="22"/>
        </w:rPr>
        <w:t>i</w:t>
      </w:r>
      <w:r w:rsidRPr="00D76C55">
        <w:rPr>
          <w:rFonts w:asciiTheme="minorHAnsi" w:hAnsiTheme="minorHAnsi" w:cstheme="minorHAnsi"/>
          <w:sz w:val="22"/>
          <w:szCs w:val="22"/>
        </w:rPr>
        <w:t>s. Kadangi Notarų rūmų prezidiumo nariai nepripažinti draudžiamo susitarimo bendravykdžiais, nuspręsta, jog jiems baudos neturėjo būti skiriamos.</w:t>
      </w:r>
    </w:p>
    <w:p w14:paraId="08464DA4" w14:textId="5FE89F49" w:rsidR="00D76C55" w:rsidRPr="00D76C55" w:rsidRDefault="00D76C55" w:rsidP="00D76C55">
      <w:pPr>
        <w:ind w:firstLine="567"/>
        <w:jc w:val="both"/>
        <w:rPr>
          <w:rFonts w:asciiTheme="minorHAnsi" w:hAnsiTheme="minorHAnsi" w:cstheme="minorHAnsi"/>
          <w:sz w:val="22"/>
          <w:szCs w:val="22"/>
        </w:rPr>
      </w:pPr>
      <w:r w:rsidRPr="00D76C55">
        <w:rPr>
          <w:rFonts w:asciiTheme="minorHAnsi" w:hAnsiTheme="minorHAnsi" w:cstheme="minorHAnsi"/>
          <w:sz w:val="22"/>
          <w:szCs w:val="22"/>
        </w:rPr>
        <w:t xml:space="preserve">Konkurencijos tarybos apeliacinis skundas tenkintas iš dalies ir pirmosios instancijos teismo sprendimas pakeistas. Notarų rūmų skundas atmestas, o šių rūmų prezidiumo narių notarų skundas patenkintas ir panaikinta </w:t>
      </w:r>
      <w:r w:rsidR="00FC1B89">
        <w:rPr>
          <w:rFonts w:asciiTheme="minorHAnsi" w:hAnsiTheme="minorHAnsi" w:cstheme="minorHAnsi"/>
          <w:sz w:val="22"/>
          <w:szCs w:val="22"/>
        </w:rPr>
        <w:t>ginčyto n</w:t>
      </w:r>
      <w:r w:rsidRPr="00D76C55">
        <w:rPr>
          <w:rFonts w:asciiTheme="minorHAnsi" w:hAnsiTheme="minorHAnsi" w:cstheme="minorHAnsi"/>
          <w:sz w:val="22"/>
          <w:szCs w:val="22"/>
        </w:rPr>
        <w:t>utarimo dalis, susijusi su šiais asmenimis.</w:t>
      </w:r>
    </w:p>
    <w:p w14:paraId="0C1D46E0" w14:textId="77777777" w:rsidR="00D76C55" w:rsidRPr="00D76C55" w:rsidRDefault="00D76C55" w:rsidP="00D76C55">
      <w:pPr>
        <w:jc w:val="both"/>
        <w:rPr>
          <w:rFonts w:asciiTheme="minorHAnsi" w:hAnsiTheme="minorHAnsi" w:cstheme="minorHAnsi"/>
          <w:sz w:val="22"/>
          <w:szCs w:val="22"/>
        </w:rPr>
      </w:pPr>
    </w:p>
    <w:p w14:paraId="5A34BEFD" w14:textId="77777777" w:rsidR="00D76C55" w:rsidRPr="00D76C55" w:rsidRDefault="00D76C55" w:rsidP="00D76C55">
      <w:pPr>
        <w:jc w:val="both"/>
        <w:rPr>
          <w:rFonts w:asciiTheme="minorHAnsi" w:hAnsiTheme="minorHAnsi" w:cstheme="minorHAnsi"/>
          <w:sz w:val="22"/>
          <w:szCs w:val="22"/>
        </w:rPr>
      </w:pPr>
      <w:r w:rsidRPr="00D76C55">
        <w:rPr>
          <w:rFonts w:asciiTheme="minorHAnsi" w:hAnsiTheme="minorHAnsi" w:cstheme="minorHAnsi"/>
          <w:sz w:val="22"/>
          <w:szCs w:val="22"/>
        </w:rPr>
        <w:t>Išplėstinės teisėjų kolegijos 2024 m. lapkričio 13 d. nutartis administracinėje byloje Nr. eA-215-629/2024</w:t>
      </w:r>
    </w:p>
    <w:p w14:paraId="348FD1EB" w14:textId="77777777" w:rsidR="00D76C55" w:rsidRPr="00D76C55" w:rsidRDefault="00D76C55" w:rsidP="00D76C55">
      <w:pPr>
        <w:jc w:val="both"/>
        <w:rPr>
          <w:rFonts w:asciiTheme="minorHAnsi" w:hAnsiTheme="minorHAnsi" w:cstheme="minorHAnsi"/>
          <w:sz w:val="22"/>
          <w:szCs w:val="22"/>
        </w:rPr>
      </w:pPr>
      <w:r w:rsidRPr="00D76C55">
        <w:rPr>
          <w:rFonts w:asciiTheme="minorHAnsi" w:hAnsiTheme="minorHAnsi" w:cstheme="minorHAnsi"/>
          <w:sz w:val="22"/>
          <w:szCs w:val="22"/>
        </w:rPr>
        <w:t>Teisminio proceso Nr. 3-61-3-01686-2018-5</w:t>
      </w:r>
    </w:p>
    <w:p w14:paraId="0C74EE54" w14:textId="77777777" w:rsidR="00D76C55" w:rsidRPr="00D76C55" w:rsidRDefault="00D76C55" w:rsidP="00D76C55">
      <w:pPr>
        <w:jc w:val="both"/>
        <w:rPr>
          <w:rStyle w:val="Hyperlink"/>
          <w:rFonts w:asciiTheme="minorHAnsi" w:hAnsiTheme="minorHAnsi" w:cstheme="minorHAnsi"/>
          <w:sz w:val="22"/>
          <w:szCs w:val="22"/>
        </w:rPr>
      </w:pPr>
      <w:hyperlink r:id="rId20" w:history="1">
        <w:r w:rsidRPr="00D76C55">
          <w:rPr>
            <w:rStyle w:val="Hyperlink"/>
            <w:rFonts w:asciiTheme="minorHAnsi" w:hAnsiTheme="minorHAnsi" w:cstheme="minorHAnsi"/>
            <w:sz w:val="22"/>
            <w:szCs w:val="22"/>
          </w:rPr>
          <w:t>Prieiga internete</w:t>
        </w:r>
      </w:hyperlink>
    </w:p>
    <w:p w14:paraId="7818ACD6" w14:textId="346D1FF9" w:rsidR="00113E12" w:rsidRDefault="00113E12" w:rsidP="00113E12">
      <w:pPr>
        <w:jc w:val="both"/>
        <w:rPr>
          <w:rFonts w:asciiTheme="minorHAnsi" w:hAnsiTheme="minorHAnsi" w:cstheme="minorHAnsi"/>
          <w:sz w:val="22"/>
          <w:szCs w:val="22"/>
        </w:rPr>
      </w:pPr>
    </w:p>
    <w:p w14:paraId="62C28D38" w14:textId="77777777" w:rsidR="002A721C" w:rsidRPr="002A721C" w:rsidRDefault="002A721C" w:rsidP="002A721C">
      <w:pPr>
        <w:pStyle w:val="Apzvalgai1"/>
        <w:rPr>
          <w:rFonts w:asciiTheme="minorHAnsi" w:hAnsiTheme="minorHAnsi" w:cstheme="minorHAnsi"/>
        </w:rPr>
      </w:pPr>
      <w:bookmarkStart w:id="32" w:name="_Toc187075144"/>
      <w:r w:rsidRPr="002A721C">
        <w:rPr>
          <w:rFonts w:asciiTheme="minorHAnsi" w:hAnsiTheme="minorHAnsi" w:cstheme="minorHAnsi"/>
        </w:rPr>
        <w:t>13. Muitinės veikla</w:t>
      </w:r>
      <w:bookmarkEnd w:id="32"/>
    </w:p>
    <w:p w14:paraId="5CB095C1" w14:textId="77777777" w:rsidR="002A721C" w:rsidRPr="009C0CD0" w:rsidRDefault="002A721C" w:rsidP="002A721C">
      <w:pPr>
        <w:ind w:firstLine="567"/>
        <w:jc w:val="both"/>
        <w:rPr>
          <w:rFonts w:asciiTheme="minorHAnsi" w:hAnsiTheme="minorHAnsi" w:cstheme="minorHAnsi"/>
          <w:b/>
          <w:bCs/>
          <w:sz w:val="22"/>
          <w:szCs w:val="22"/>
          <w:u w:val="single"/>
        </w:rPr>
      </w:pPr>
      <w:r w:rsidRPr="009C0CD0">
        <w:rPr>
          <w:rFonts w:asciiTheme="minorHAnsi" w:hAnsiTheme="minorHAnsi" w:cstheme="minorHAnsi"/>
          <w:b/>
          <w:bCs/>
          <w:sz w:val="22"/>
          <w:szCs w:val="22"/>
          <w:u w:val="single"/>
        </w:rPr>
        <w:t>13.9. Kiti su muitinės veikla susiję klausimai</w:t>
      </w:r>
    </w:p>
    <w:p w14:paraId="7D6DE2FA" w14:textId="77777777" w:rsidR="002A721C" w:rsidRPr="009C0CD0" w:rsidRDefault="002A721C" w:rsidP="002A721C">
      <w:pPr>
        <w:ind w:firstLine="567"/>
        <w:jc w:val="both"/>
        <w:rPr>
          <w:rFonts w:asciiTheme="minorHAnsi" w:hAnsiTheme="minorHAnsi" w:cstheme="minorHAnsi"/>
          <w:sz w:val="22"/>
          <w:szCs w:val="22"/>
        </w:rPr>
      </w:pPr>
    </w:p>
    <w:p w14:paraId="7BA9972A" w14:textId="77777777" w:rsidR="002A721C" w:rsidRPr="002A721C" w:rsidRDefault="002A721C" w:rsidP="002A721C">
      <w:pPr>
        <w:jc w:val="both"/>
        <w:outlineLvl w:val="1"/>
        <w:rPr>
          <w:rFonts w:asciiTheme="minorHAnsi" w:eastAsia="Calibri" w:hAnsiTheme="minorHAnsi" w:cstheme="minorHAnsi"/>
          <w:i/>
          <w:sz w:val="22"/>
          <w:szCs w:val="22"/>
        </w:rPr>
      </w:pPr>
      <w:bookmarkStart w:id="33" w:name="_Toc187075145"/>
      <w:r w:rsidRPr="002A721C">
        <w:rPr>
          <w:rFonts w:asciiTheme="minorHAnsi" w:eastAsia="Calibri" w:hAnsiTheme="minorHAnsi" w:cstheme="minorHAnsi"/>
          <w:i/>
          <w:sz w:val="22"/>
          <w:szCs w:val="22"/>
        </w:rPr>
        <w:t>Dėl suinteresuoto asmens galimybės ikiteismine tvarka skųsti teritorinės muitinės sprendimą dėl laikino prekių sulaikymo Muitinės departamentui</w:t>
      </w:r>
      <w:bookmarkEnd w:id="33"/>
    </w:p>
    <w:p w14:paraId="34191A53" w14:textId="77777777" w:rsidR="002A721C" w:rsidRPr="009C0CD0" w:rsidRDefault="002A721C" w:rsidP="002A721C">
      <w:pPr>
        <w:ind w:firstLine="567"/>
        <w:jc w:val="both"/>
        <w:rPr>
          <w:rFonts w:asciiTheme="minorHAnsi" w:hAnsiTheme="minorHAnsi" w:cstheme="minorHAnsi"/>
          <w:sz w:val="22"/>
          <w:szCs w:val="22"/>
        </w:rPr>
      </w:pPr>
    </w:p>
    <w:p w14:paraId="4213A391" w14:textId="77777777" w:rsidR="002A721C" w:rsidRPr="009C0CD0" w:rsidRDefault="002A721C" w:rsidP="002A721C">
      <w:pPr>
        <w:ind w:firstLine="567"/>
        <w:jc w:val="both"/>
        <w:rPr>
          <w:rFonts w:asciiTheme="minorHAnsi" w:hAnsiTheme="minorHAnsi" w:cstheme="minorHAnsi"/>
          <w:sz w:val="22"/>
          <w:szCs w:val="22"/>
        </w:rPr>
      </w:pPr>
      <w:r w:rsidRPr="009C0CD0">
        <w:rPr>
          <w:rFonts w:asciiTheme="minorHAnsi" w:hAnsiTheme="minorHAnsi" w:cstheme="minorHAnsi"/>
          <w:sz w:val="22"/>
          <w:szCs w:val="22"/>
        </w:rPr>
        <w:t>Apžvelgiamoje byloje</w:t>
      </w:r>
      <w:r>
        <w:rPr>
          <w:rFonts w:asciiTheme="minorHAnsi" w:hAnsiTheme="minorHAnsi" w:cstheme="minorHAnsi"/>
          <w:sz w:val="22"/>
          <w:szCs w:val="22"/>
        </w:rPr>
        <w:t xml:space="preserve"> </w:t>
      </w:r>
      <w:r w:rsidRPr="009C0CD0">
        <w:rPr>
          <w:rFonts w:asciiTheme="minorHAnsi" w:hAnsiTheme="minorHAnsi" w:cstheme="minorHAnsi"/>
          <w:sz w:val="22"/>
          <w:szCs w:val="22"/>
        </w:rPr>
        <w:t>nagrinėtas ginčas,</w:t>
      </w:r>
      <w:r>
        <w:rPr>
          <w:rFonts w:asciiTheme="minorHAnsi" w:hAnsiTheme="minorHAnsi" w:cstheme="minorHAnsi"/>
          <w:sz w:val="22"/>
          <w:szCs w:val="22"/>
        </w:rPr>
        <w:t xml:space="preserve"> </w:t>
      </w:r>
      <w:r w:rsidRPr="009C0CD0">
        <w:rPr>
          <w:rFonts w:asciiTheme="minorHAnsi" w:hAnsiTheme="minorHAnsi" w:cstheme="minorHAnsi"/>
          <w:sz w:val="22"/>
          <w:szCs w:val="22"/>
        </w:rPr>
        <w:t>be kita ko, kilo dėl to, ar Muitinės</w:t>
      </w:r>
      <w:r>
        <w:rPr>
          <w:rFonts w:asciiTheme="minorHAnsi" w:hAnsiTheme="minorHAnsi" w:cstheme="minorHAnsi"/>
          <w:sz w:val="22"/>
          <w:szCs w:val="22"/>
        </w:rPr>
        <w:t xml:space="preserve"> </w:t>
      </w:r>
      <w:r w:rsidRPr="009C0CD0">
        <w:rPr>
          <w:rFonts w:asciiTheme="minorHAnsi" w:hAnsiTheme="minorHAnsi" w:cstheme="minorHAnsi"/>
          <w:sz w:val="22"/>
          <w:szCs w:val="22"/>
        </w:rPr>
        <w:t>departamentui gali būti</w:t>
      </w:r>
      <w:r>
        <w:rPr>
          <w:rFonts w:asciiTheme="minorHAnsi" w:hAnsiTheme="minorHAnsi" w:cstheme="minorHAnsi"/>
          <w:sz w:val="22"/>
          <w:szCs w:val="22"/>
        </w:rPr>
        <w:t xml:space="preserve"> </w:t>
      </w:r>
      <w:r w:rsidRPr="009C0CD0">
        <w:rPr>
          <w:rFonts w:asciiTheme="minorHAnsi" w:hAnsiTheme="minorHAnsi" w:cstheme="minorHAnsi"/>
          <w:sz w:val="22"/>
          <w:szCs w:val="22"/>
        </w:rPr>
        <w:t>skundžiamas</w:t>
      </w:r>
      <w:r>
        <w:rPr>
          <w:rFonts w:asciiTheme="minorHAnsi" w:hAnsiTheme="minorHAnsi" w:cstheme="minorHAnsi"/>
          <w:sz w:val="22"/>
          <w:szCs w:val="22"/>
        </w:rPr>
        <w:t xml:space="preserve"> </w:t>
      </w:r>
      <w:r w:rsidRPr="009C0CD0">
        <w:rPr>
          <w:rFonts w:asciiTheme="minorHAnsi" w:hAnsiTheme="minorHAnsi" w:cstheme="minorHAnsi"/>
          <w:sz w:val="22"/>
          <w:szCs w:val="22"/>
        </w:rPr>
        <w:t>teritorinės muitinės inspektoriaus</w:t>
      </w:r>
      <w:r>
        <w:rPr>
          <w:rFonts w:asciiTheme="minorHAnsi" w:hAnsiTheme="minorHAnsi" w:cstheme="minorHAnsi"/>
          <w:sz w:val="22"/>
          <w:szCs w:val="22"/>
        </w:rPr>
        <w:t xml:space="preserve"> </w:t>
      </w:r>
      <w:r w:rsidRPr="009C0CD0">
        <w:rPr>
          <w:rFonts w:asciiTheme="minorHAnsi" w:hAnsiTheme="minorHAnsi" w:cstheme="minorHAnsi"/>
          <w:sz w:val="22"/>
          <w:szCs w:val="22"/>
        </w:rPr>
        <w:t>sprendimas laikinai sulaikyti</w:t>
      </w:r>
      <w:r>
        <w:rPr>
          <w:rFonts w:asciiTheme="minorHAnsi" w:hAnsiTheme="minorHAnsi" w:cstheme="minorHAnsi"/>
          <w:sz w:val="22"/>
          <w:szCs w:val="22"/>
        </w:rPr>
        <w:t xml:space="preserve"> </w:t>
      </w:r>
      <w:r w:rsidRPr="009C0CD0">
        <w:rPr>
          <w:rFonts w:asciiTheme="minorHAnsi" w:hAnsiTheme="minorHAnsi" w:cstheme="minorHAnsi"/>
          <w:sz w:val="22"/>
          <w:szCs w:val="22"/>
        </w:rPr>
        <w:t>prekes.</w:t>
      </w:r>
    </w:p>
    <w:p w14:paraId="0676BB1C" w14:textId="77777777" w:rsidR="002A721C" w:rsidRPr="009C0CD0" w:rsidRDefault="002A721C" w:rsidP="002A721C">
      <w:pPr>
        <w:ind w:firstLine="567"/>
        <w:jc w:val="both"/>
        <w:rPr>
          <w:rFonts w:asciiTheme="minorHAnsi" w:hAnsiTheme="minorHAnsi" w:cstheme="minorHAnsi"/>
          <w:sz w:val="22"/>
          <w:szCs w:val="22"/>
        </w:rPr>
      </w:pPr>
      <w:r w:rsidRPr="009C0CD0">
        <w:rPr>
          <w:rFonts w:asciiTheme="minorHAnsi" w:hAnsiTheme="minorHAnsi" w:cstheme="minorHAnsi"/>
          <w:sz w:val="22"/>
          <w:szCs w:val="22"/>
        </w:rPr>
        <w:t>Pirmosios instancijos teismas</w:t>
      </w:r>
      <w:r>
        <w:rPr>
          <w:rFonts w:asciiTheme="minorHAnsi" w:hAnsiTheme="minorHAnsi" w:cstheme="minorHAnsi"/>
          <w:sz w:val="22"/>
          <w:szCs w:val="22"/>
        </w:rPr>
        <w:t xml:space="preserve"> </w:t>
      </w:r>
      <w:r w:rsidRPr="009C0CD0">
        <w:rPr>
          <w:rFonts w:asciiTheme="minorHAnsi" w:hAnsiTheme="minorHAnsi" w:cstheme="minorHAnsi"/>
          <w:sz w:val="22"/>
          <w:szCs w:val="22"/>
        </w:rPr>
        <w:t>vertino, kad Muitinės departamentas turi įgalinimus nagrinėti skundus dėl tokių teritorinės muitinės sprendimų</w:t>
      </w:r>
      <w:r>
        <w:rPr>
          <w:rFonts w:asciiTheme="minorHAnsi" w:hAnsiTheme="minorHAnsi" w:cstheme="minorHAnsi"/>
          <w:sz w:val="22"/>
          <w:szCs w:val="22"/>
        </w:rPr>
        <w:t>.</w:t>
      </w:r>
      <w:r w:rsidRPr="009C0CD0">
        <w:rPr>
          <w:rFonts w:asciiTheme="minorHAnsi" w:hAnsiTheme="minorHAnsi" w:cstheme="minorHAnsi"/>
          <w:sz w:val="22"/>
          <w:szCs w:val="22"/>
        </w:rPr>
        <w:t xml:space="preserve"> Tačiau apeliacinį skundą</w:t>
      </w:r>
      <w:r>
        <w:rPr>
          <w:rFonts w:asciiTheme="minorHAnsi" w:hAnsiTheme="minorHAnsi" w:cstheme="minorHAnsi"/>
          <w:sz w:val="22"/>
          <w:szCs w:val="22"/>
        </w:rPr>
        <w:t xml:space="preserve"> </w:t>
      </w:r>
      <w:r w:rsidRPr="009C0CD0">
        <w:rPr>
          <w:rFonts w:asciiTheme="minorHAnsi" w:hAnsiTheme="minorHAnsi" w:cstheme="minorHAnsi"/>
          <w:sz w:val="22"/>
          <w:szCs w:val="22"/>
        </w:rPr>
        <w:t>pateikęs šis mokesčių administratorius, be kita ko, teigė, kad prekių sulaikymas yra procesinis veiksmas ir nelaikytinas muitinės sprendimu, kurio surašymas gali būti skundžiamas Muitinės departamentui.</w:t>
      </w:r>
    </w:p>
    <w:p w14:paraId="13F4D4F3" w14:textId="77777777" w:rsidR="002A721C" w:rsidRPr="009C0CD0" w:rsidRDefault="002A721C" w:rsidP="002A721C">
      <w:pPr>
        <w:ind w:firstLine="567"/>
        <w:jc w:val="both"/>
        <w:rPr>
          <w:rFonts w:asciiTheme="minorHAnsi" w:hAnsiTheme="minorHAnsi" w:cstheme="minorHAnsi"/>
          <w:sz w:val="22"/>
          <w:szCs w:val="22"/>
        </w:rPr>
      </w:pPr>
      <w:r w:rsidRPr="009C0CD0">
        <w:rPr>
          <w:rFonts w:asciiTheme="minorHAnsi" w:hAnsiTheme="minorHAnsi" w:cstheme="minorHAnsi"/>
          <w:sz w:val="22"/>
          <w:szCs w:val="22"/>
        </w:rPr>
        <w:t>Muitinės įstatymo 31 straipsnyje nustatyta, kad dėl teritorinių muitinių ir specialiųjų muitinės įstaigų sprendimų ar jų nepriėmimo skundai teikiami Muitinės departamentui; dėl Muitinės departamento sprendimų ar jų nepriėmimo – Lietuvos administracinių ginčų komisijai arba administraciniam teismui.</w:t>
      </w:r>
    </w:p>
    <w:p w14:paraId="329A3576" w14:textId="77777777" w:rsidR="002A721C" w:rsidRPr="009C0CD0" w:rsidRDefault="002A721C" w:rsidP="002A721C">
      <w:pPr>
        <w:ind w:firstLine="567"/>
        <w:jc w:val="both"/>
        <w:rPr>
          <w:rFonts w:asciiTheme="minorHAnsi" w:hAnsiTheme="minorHAnsi" w:cstheme="minorHAnsi"/>
          <w:sz w:val="22"/>
          <w:szCs w:val="22"/>
        </w:rPr>
      </w:pPr>
      <w:r w:rsidRPr="009C0CD0">
        <w:rPr>
          <w:rFonts w:asciiTheme="minorHAnsi" w:hAnsiTheme="minorHAnsi" w:cstheme="minorHAnsi"/>
          <w:sz w:val="22"/>
          <w:szCs w:val="22"/>
        </w:rPr>
        <w:t>Kaip pažymėjo LVAT teisėjų kolegija, įstatymų leidėjas šiuo įstatymu neapibrėžė, kas yra laikytina „muitinės sprendimu“, bet Muitinės įstatymo 3 straipsnio 7 punkte nurodė, kad šiame įstatyme vartojamos sąvokos suprantamos taip, kaip jos apibrėžtos, be kita ko, Sąjungos muitinės kodekse</w:t>
      </w:r>
      <w:r w:rsidRPr="009C0CD0">
        <w:rPr>
          <w:rStyle w:val="FootnoteReference"/>
          <w:rFonts w:asciiTheme="minorHAnsi" w:hAnsiTheme="minorHAnsi" w:cstheme="minorHAnsi"/>
          <w:sz w:val="22"/>
          <w:szCs w:val="22"/>
        </w:rPr>
        <w:footnoteReference w:id="5"/>
      </w:r>
      <w:r w:rsidRPr="009C0CD0">
        <w:rPr>
          <w:rFonts w:asciiTheme="minorHAnsi" w:hAnsiTheme="minorHAnsi" w:cstheme="minorHAnsi"/>
          <w:sz w:val="22"/>
          <w:szCs w:val="22"/>
        </w:rPr>
        <w:t>. Šio kodekso</w:t>
      </w:r>
      <w:r>
        <w:rPr>
          <w:rFonts w:asciiTheme="minorHAnsi" w:hAnsiTheme="minorHAnsi" w:cstheme="minorHAnsi"/>
          <w:sz w:val="22"/>
          <w:szCs w:val="22"/>
        </w:rPr>
        <w:t xml:space="preserve"> </w:t>
      </w:r>
      <w:r w:rsidRPr="009C0CD0">
        <w:rPr>
          <w:rFonts w:asciiTheme="minorHAnsi" w:hAnsiTheme="minorHAnsi" w:cstheme="minorHAnsi"/>
          <w:sz w:val="22"/>
          <w:szCs w:val="22"/>
        </w:rPr>
        <w:t>5 straipsnio 39 punkte nustatyta, kad sprendimas – bet kuris muitinės veiksmas, susijęs su muitų teisės aktais, kuriuo duodamas nurodymas konkrečiu atveju, sukeliantis teisines pasekmes atitinkamam asmeniui arba asmenims.</w:t>
      </w:r>
    </w:p>
    <w:p w14:paraId="6101B8C5" w14:textId="46A2F51B" w:rsidR="002A721C" w:rsidRPr="009C0CD0" w:rsidRDefault="002A721C" w:rsidP="002A721C">
      <w:pPr>
        <w:ind w:firstLine="567"/>
        <w:jc w:val="both"/>
        <w:rPr>
          <w:rFonts w:asciiTheme="minorHAnsi" w:hAnsiTheme="minorHAnsi" w:cstheme="minorHAnsi"/>
          <w:sz w:val="22"/>
          <w:szCs w:val="22"/>
        </w:rPr>
      </w:pPr>
      <w:r w:rsidRPr="009C0CD0">
        <w:rPr>
          <w:rFonts w:asciiTheme="minorHAnsi" w:hAnsiTheme="minorHAnsi" w:cstheme="minorHAnsi"/>
          <w:sz w:val="22"/>
          <w:szCs w:val="22"/>
        </w:rPr>
        <w:t>Įvertinusi skirtingose Sąjungos muitinės kodekso kalbinėse</w:t>
      </w:r>
      <w:r>
        <w:rPr>
          <w:rFonts w:asciiTheme="minorHAnsi" w:hAnsiTheme="minorHAnsi" w:cstheme="minorHAnsi"/>
          <w:sz w:val="22"/>
          <w:szCs w:val="22"/>
        </w:rPr>
        <w:t xml:space="preserve"> </w:t>
      </w:r>
      <w:r w:rsidRPr="009C0CD0">
        <w:rPr>
          <w:rFonts w:asciiTheme="minorHAnsi" w:hAnsiTheme="minorHAnsi" w:cstheme="minorHAnsi"/>
          <w:sz w:val="22"/>
          <w:szCs w:val="22"/>
        </w:rPr>
        <w:t>versijose</w:t>
      </w:r>
      <w:r w:rsidRPr="009C0CD0">
        <w:rPr>
          <w:rStyle w:val="FootnoteReference"/>
          <w:rFonts w:asciiTheme="minorHAnsi" w:hAnsiTheme="minorHAnsi" w:cstheme="minorHAnsi"/>
          <w:sz w:val="22"/>
          <w:szCs w:val="22"/>
        </w:rPr>
        <w:footnoteReference w:id="6"/>
      </w:r>
      <w:r w:rsidRPr="009C0CD0">
        <w:rPr>
          <w:rFonts w:asciiTheme="minorHAnsi" w:hAnsiTheme="minorHAnsi" w:cstheme="minorHAnsi"/>
          <w:sz w:val="22"/>
          <w:szCs w:val="22"/>
        </w:rPr>
        <w:t xml:space="preserve"> naudojamus prasminius akcentus, teisėjų kolegija</w:t>
      </w:r>
      <w:r>
        <w:rPr>
          <w:rFonts w:asciiTheme="minorHAnsi" w:hAnsiTheme="minorHAnsi" w:cstheme="minorHAnsi"/>
          <w:sz w:val="22"/>
          <w:szCs w:val="22"/>
        </w:rPr>
        <w:t xml:space="preserve"> </w:t>
      </w:r>
      <w:r w:rsidRPr="009C0CD0">
        <w:rPr>
          <w:rFonts w:asciiTheme="minorHAnsi" w:hAnsiTheme="minorHAnsi" w:cstheme="minorHAnsi"/>
          <w:sz w:val="22"/>
          <w:szCs w:val="22"/>
        </w:rPr>
        <w:t xml:space="preserve">sprendė, kad </w:t>
      </w:r>
      <w:r w:rsidRPr="009C0CD0">
        <w:rPr>
          <w:rFonts w:asciiTheme="minorHAnsi" w:hAnsiTheme="minorHAnsi" w:cstheme="minorHAnsi"/>
          <w:sz w:val="22"/>
          <w:szCs w:val="22"/>
          <w:u w:val="single"/>
        </w:rPr>
        <w:t>nėra pagrindo aiškinti terminą „nurodymas“ siaurinamai, todėl minėt</w:t>
      </w:r>
      <w:r w:rsidR="00437E82">
        <w:rPr>
          <w:rFonts w:asciiTheme="minorHAnsi" w:hAnsiTheme="minorHAnsi" w:cstheme="minorHAnsi"/>
          <w:sz w:val="22"/>
          <w:szCs w:val="22"/>
          <w:u w:val="single"/>
        </w:rPr>
        <w:t>am</w:t>
      </w:r>
      <w:r w:rsidRPr="009C0CD0">
        <w:rPr>
          <w:rFonts w:asciiTheme="minorHAnsi" w:hAnsiTheme="minorHAnsi" w:cstheme="minorHAnsi"/>
          <w:sz w:val="22"/>
          <w:szCs w:val="22"/>
          <w:u w:val="single"/>
        </w:rPr>
        <w:t>e Muitinės įstatymo 31 straipsnyje</w:t>
      </w:r>
      <w:r>
        <w:rPr>
          <w:rFonts w:asciiTheme="minorHAnsi" w:hAnsiTheme="minorHAnsi" w:cstheme="minorHAnsi"/>
          <w:sz w:val="22"/>
          <w:szCs w:val="22"/>
          <w:u w:val="single"/>
        </w:rPr>
        <w:t xml:space="preserve"> </w:t>
      </w:r>
      <w:r w:rsidRPr="009C0CD0">
        <w:rPr>
          <w:rFonts w:asciiTheme="minorHAnsi" w:hAnsiTheme="minorHAnsi" w:cstheme="minorHAnsi"/>
          <w:sz w:val="22"/>
          <w:szCs w:val="22"/>
          <w:u w:val="single"/>
        </w:rPr>
        <w:t>minimas „sprendimas“ aiškintinas kaip bet koks muitinės priimtas aktas, susijęs su muitų teisės aktais, kuriame yra nutariama konkrečiu klausimu ir sukeliamos reikšmingos teisinės pasekmės atitinkamam asmeniui ar asmenims</w:t>
      </w:r>
      <w:r w:rsidRPr="009C0CD0">
        <w:rPr>
          <w:rFonts w:asciiTheme="minorHAnsi" w:hAnsiTheme="minorHAnsi" w:cstheme="minorHAnsi"/>
          <w:sz w:val="22"/>
          <w:szCs w:val="22"/>
        </w:rPr>
        <w:t>.</w:t>
      </w:r>
    </w:p>
    <w:p w14:paraId="1A1A53A8" w14:textId="77777777" w:rsidR="002A721C" w:rsidRPr="009C0CD0" w:rsidRDefault="002A721C" w:rsidP="002A721C">
      <w:pPr>
        <w:ind w:firstLine="567"/>
        <w:jc w:val="both"/>
        <w:rPr>
          <w:rFonts w:asciiTheme="minorHAnsi" w:hAnsiTheme="minorHAnsi" w:cstheme="minorHAnsi"/>
          <w:sz w:val="22"/>
          <w:szCs w:val="22"/>
        </w:rPr>
      </w:pPr>
      <w:r w:rsidRPr="009C0CD0">
        <w:rPr>
          <w:rFonts w:asciiTheme="minorHAnsi" w:hAnsiTheme="minorHAnsi" w:cstheme="minorHAnsi"/>
          <w:sz w:val="22"/>
          <w:szCs w:val="22"/>
        </w:rPr>
        <w:t>Kadangi pareiškėjo</w:t>
      </w:r>
      <w:r>
        <w:rPr>
          <w:rFonts w:asciiTheme="minorHAnsi" w:hAnsiTheme="minorHAnsi" w:cstheme="minorHAnsi"/>
          <w:sz w:val="22"/>
          <w:szCs w:val="22"/>
        </w:rPr>
        <w:t xml:space="preserve"> </w:t>
      </w:r>
      <w:r w:rsidRPr="009C0CD0">
        <w:rPr>
          <w:rFonts w:asciiTheme="minorHAnsi" w:hAnsiTheme="minorHAnsi" w:cstheme="minorHAnsi"/>
          <w:sz w:val="22"/>
          <w:szCs w:val="22"/>
        </w:rPr>
        <w:t>ginčytu prekių sulaikymo protokolu</w:t>
      </w:r>
      <w:r>
        <w:rPr>
          <w:rFonts w:asciiTheme="minorHAnsi" w:hAnsiTheme="minorHAnsi" w:cstheme="minorHAnsi"/>
          <w:sz w:val="22"/>
          <w:szCs w:val="22"/>
        </w:rPr>
        <w:t xml:space="preserve"> </w:t>
      </w:r>
      <w:r w:rsidRPr="009C0CD0">
        <w:rPr>
          <w:rFonts w:asciiTheme="minorHAnsi" w:hAnsiTheme="minorHAnsi" w:cstheme="minorHAnsi"/>
          <w:sz w:val="22"/>
          <w:szCs w:val="22"/>
        </w:rPr>
        <w:t>buvo reikšmingai apribotos jo nuosavybės teisės, todėl sutinkamai su Muitinės įstatymo 31 straipsniu tokie protokolai (teritorinės muitinės sprendimai sulaikyti prekes) gali būti skundžiami Muitinės departamentui ikiteismine tvarka ir po to Lietuvos administracinių ginčų komisijai arba administraciniam teismui.</w:t>
      </w:r>
    </w:p>
    <w:p w14:paraId="7F0811B2" w14:textId="77777777" w:rsidR="002A721C" w:rsidRPr="009C0CD0" w:rsidRDefault="002A721C" w:rsidP="002A721C">
      <w:pPr>
        <w:ind w:firstLine="567"/>
        <w:jc w:val="both"/>
        <w:rPr>
          <w:rFonts w:asciiTheme="minorHAnsi" w:hAnsiTheme="minorHAnsi" w:cstheme="minorHAnsi"/>
          <w:sz w:val="22"/>
          <w:szCs w:val="22"/>
        </w:rPr>
      </w:pPr>
    </w:p>
    <w:p w14:paraId="739BC64F" w14:textId="77777777" w:rsidR="002A721C" w:rsidRPr="009C0CD0" w:rsidRDefault="002A721C" w:rsidP="002A721C">
      <w:pPr>
        <w:jc w:val="both"/>
        <w:rPr>
          <w:rFonts w:asciiTheme="minorHAnsi" w:hAnsiTheme="minorHAnsi" w:cstheme="minorHAnsi"/>
          <w:sz w:val="22"/>
          <w:szCs w:val="22"/>
        </w:rPr>
      </w:pPr>
      <w:r w:rsidRPr="009C0CD0">
        <w:rPr>
          <w:rFonts w:asciiTheme="minorHAnsi" w:hAnsiTheme="minorHAnsi" w:cstheme="minorHAnsi"/>
          <w:sz w:val="22"/>
          <w:szCs w:val="22"/>
        </w:rPr>
        <w:t>2024 m. lapkričio 6 d. nutartis administracinėje byloje Nr. eA-1009-575/2024</w:t>
      </w:r>
    </w:p>
    <w:p w14:paraId="3A13AD3A" w14:textId="77777777" w:rsidR="002A721C" w:rsidRPr="009C0CD0" w:rsidRDefault="002A721C" w:rsidP="002A721C">
      <w:pPr>
        <w:jc w:val="both"/>
        <w:rPr>
          <w:rFonts w:asciiTheme="minorHAnsi" w:hAnsiTheme="minorHAnsi" w:cstheme="minorHAnsi"/>
          <w:sz w:val="22"/>
          <w:szCs w:val="22"/>
        </w:rPr>
      </w:pPr>
      <w:r w:rsidRPr="009C0CD0">
        <w:rPr>
          <w:rFonts w:asciiTheme="minorHAnsi" w:hAnsiTheme="minorHAnsi" w:cstheme="minorHAnsi"/>
          <w:sz w:val="22"/>
          <w:szCs w:val="22"/>
        </w:rPr>
        <w:t>Teisminio proceso Nr. 3-61-3-07785-2023-7</w:t>
      </w:r>
    </w:p>
    <w:p w14:paraId="1FE94C89" w14:textId="77777777" w:rsidR="002A721C" w:rsidRPr="009C0CD0" w:rsidRDefault="002A721C" w:rsidP="002A721C">
      <w:pPr>
        <w:jc w:val="both"/>
        <w:rPr>
          <w:rFonts w:asciiTheme="minorHAnsi" w:hAnsiTheme="minorHAnsi" w:cstheme="minorHAnsi"/>
          <w:sz w:val="22"/>
          <w:szCs w:val="22"/>
        </w:rPr>
      </w:pPr>
      <w:hyperlink r:id="rId21" w:history="1">
        <w:r w:rsidRPr="009C0CD0">
          <w:rPr>
            <w:rStyle w:val="Hyperlink"/>
            <w:rFonts w:asciiTheme="minorHAnsi" w:hAnsiTheme="minorHAnsi" w:cstheme="minorHAnsi"/>
            <w:sz w:val="22"/>
            <w:szCs w:val="22"/>
          </w:rPr>
          <w:t>Prieiga</w:t>
        </w:r>
        <w:r>
          <w:rPr>
            <w:rStyle w:val="Hyperlink"/>
            <w:rFonts w:asciiTheme="minorHAnsi" w:hAnsiTheme="minorHAnsi" w:cstheme="minorHAnsi"/>
            <w:sz w:val="22"/>
            <w:szCs w:val="22"/>
          </w:rPr>
          <w:t xml:space="preserve"> </w:t>
        </w:r>
        <w:r w:rsidRPr="009C0CD0">
          <w:rPr>
            <w:rStyle w:val="Hyperlink"/>
            <w:rFonts w:asciiTheme="minorHAnsi" w:hAnsiTheme="minorHAnsi" w:cstheme="minorHAnsi"/>
            <w:sz w:val="22"/>
            <w:szCs w:val="22"/>
          </w:rPr>
          <w:t>internete</w:t>
        </w:r>
      </w:hyperlink>
    </w:p>
    <w:p w14:paraId="428C695B" w14:textId="2E748FFC" w:rsidR="00C2617F" w:rsidRDefault="00C2617F" w:rsidP="008F47B7">
      <w:pPr>
        <w:ind w:firstLine="567"/>
        <w:jc w:val="both"/>
        <w:rPr>
          <w:rFonts w:asciiTheme="minorHAnsi" w:hAnsiTheme="minorHAnsi" w:cstheme="minorHAnsi"/>
          <w:sz w:val="22"/>
          <w:szCs w:val="22"/>
        </w:rPr>
      </w:pPr>
    </w:p>
    <w:p w14:paraId="7EA6B5AC" w14:textId="77777777" w:rsidR="0031362B" w:rsidRPr="0031362B" w:rsidRDefault="0031362B" w:rsidP="0031362B">
      <w:pPr>
        <w:pStyle w:val="Apzvalgai1"/>
        <w:rPr>
          <w:rFonts w:asciiTheme="minorHAnsi" w:hAnsiTheme="minorHAnsi" w:cstheme="minorHAnsi"/>
        </w:rPr>
      </w:pPr>
      <w:bookmarkStart w:id="34" w:name="_Toc187075146"/>
      <w:r w:rsidRPr="0031362B">
        <w:rPr>
          <w:rFonts w:asciiTheme="minorHAnsi" w:hAnsiTheme="minorHAnsi" w:cstheme="minorHAnsi"/>
        </w:rPr>
        <w:t>16. Teritorijų planavimas</w:t>
      </w:r>
      <w:bookmarkEnd w:id="34"/>
    </w:p>
    <w:p w14:paraId="5C948BF5" w14:textId="77777777" w:rsidR="0031362B" w:rsidRPr="0031362B" w:rsidRDefault="0031362B" w:rsidP="00101BEA">
      <w:pPr>
        <w:ind w:firstLine="567"/>
        <w:rPr>
          <w:rFonts w:asciiTheme="minorHAnsi" w:hAnsiTheme="minorHAnsi" w:cstheme="minorHAnsi"/>
          <w:b/>
          <w:bCs/>
          <w:sz w:val="22"/>
          <w:szCs w:val="22"/>
          <w:u w:val="single"/>
        </w:rPr>
      </w:pPr>
      <w:r w:rsidRPr="0031362B">
        <w:rPr>
          <w:rFonts w:asciiTheme="minorHAnsi" w:hAnsiTheme="minorHAnsi" w:cstheme="minorHAnsi"/>
          <w:b/>
          <w:bCs/>
          <w:sz w:val="22"/>
          <w:szCs w:val="22"/>
          <w:u w:val="single"/>
        </w:rPr>
        <w:t>16.2. Kompleksinio teritorijų planavimo dokumentai</w:t>
      </w:r>
    </w:p>
    <w:p w14:paraId="49CA153D" w14:textId="77777777" w:rsidR="0031362B" w:rsidRPr="0031362B" w:rsidRDefault="0031362B" w:rsidP="00101BEA">
      <w:pPr>
        <w:ind w:firstLine="1134"/>
        <w:rPr>
          <w:rFonts w:asciiTheme="minorHAnsi" w:hAnsiTheme="minorHAnsi" w:cstheme="minorHAnsi"/>
          <w:b/>
          <w:bCs/>
          <w:sz w:val="22"/>
          <w:szCs w:val="22"/>
          <w:u w:val="single"/>
        </w:rPr>
      </w:pPr>
      <w:r w:rsidRPr="0031362B">
        <w:rPr>
          <w:rFonts w:asciiTheme="minorHAnsi" w:hAnsiTheme="minorHAnsi" w:cstheme="minorHAnsi"/>
          <w:b/>
          <w:bCs/>
          <w:sz w:val="22"/>
          <w:szCs w:val="22"/>
          <w:u w:val="single"/>
        </w:rPr>
        <w:t>16.2.3. Kompleksinio teritorijų planavimo procesas</w:t>
      </w:r>
    </w:p>
    <w:p w14:paraId="689D99D4" w14:textId="77777777" w:rsidR="0031362B" w:rsidRPr="0031362B" w:rsidRDefault="0031362B" w:rsidP="00101BEA">
      <w:pPr>
        <w:ind w:firstLine="1701"/>
        <w:rPr>
          <w:rFonts w:asciiTheme="minorHAnsi" w:hAnsiTheme="minorHAnsi" w:cstheme="minorHAnsi"/>
          <w:b/>
          <w:bCs/>
          <w:sz w:val="22"/>
          <w:szCs w:val="22"/>
          <w:u w:val="single"/>
        </w:rPr>
      </w:pPr>
      <w:r w:rsidRPr="0031362B">
        <w:rPr>
          <w:rFonts w:asciiTheme="minorHAnsi" w:hAnsiTheme="minorHAnsi" w:cstheme="minorHAnsi"/>
          <w:b/>
          <w:bCs/>
          <w:sz w:val="22"/>
          <w:szCs w:val="22"/>
          <w:u w:val="single"/>
        </w:rPr>
        <w:t>16.2.3.3. Kompleksinio teritorijų planavimo dokumento sprendinių derinimas</w:t>
      </w:r>
    </w:p>
    <w:p w14:paraId="01233D99" w14:textId="77777777" w:rsidR="0031362B" w:rsidRPr="0031362B" w:rsidRDefault="0031362B" w:rsidP="0031362B">
      <w:pPr>
        <w:rPr>
          <w:rFonts w:asciiTheme="minorHAnsi" w:hAnsiTheme="minorHAnsi" w:cstheme="minorHAnsi"/>
          <w:sz w:val="22"/>
          <w:szCs w:val="22"/>
        </w:rPr>
      </w:pPr>
    </w:p>
    <w:p w14:paraId="3FFED96B" w14:textId="6D93F818" w:rsidR="0031362B" w:rsidRPr="0031362B" w:rsidRDefault="0031362B" w:rsidP="0031362B">
      <w:pPr>
        <w:jc w:val="both"/>
        <w:outlineLvl w:val="1"/>
        <w:rPr>
          <w:rFonts w:asciiTheme="minorHAnsi" w:eastAsia="Calibri" w:hAnsiTheme="minorHAnsi" w:cstheme="minorHAnsi"/>
          <w:i/>
          <w:sz w:val="22"/>
          <w:szCs w:val="22"/>
        </w:rPr>
      </w:pPr>
      <w:bookmarkStart w:id="35" w:name="_Toc187075147"/>
      <w:r w:rsidRPr="0031362B">
        <w:rPr>
          <w:rFonts w:asciiTheme="minorHAnsi" w:eastAsia="Calibri" w:hAnsiTheme="minorHAnsi" w:cstheme="minorHAnsi"/>
          <w:i/>
          <w:sz w:val="22"/>
          <w:szCs w:val="22"/>
        </w:rPr>
        <w:t>Dėl termino</w:t>
      </w:r>
      <w:r>
        <w:rPr>
          <w:rFonts w:asciiTheme="minorHAnsi" w:eastAsia="Calibri" w:hAnsiTheme="minorHAnsi" w:cstheme="minorHAnsi"/>
          <w:i/>
          <w:sz w:val="22"/>
          <w:szCs w:val="22"/>
        </w:rPr>
        <w:t>,</w:t>
      </w:r>
      <w:r w:rsidRPr="0031362B">
        <w:rPr>
          <w:rFonts w:asciiTheme="minorHAnsi" w:eastAsia="Calibri" w:hAnsiTheme="minorHAnsi" w:cstheme="minorHAnsi"/>
          <w:i/>
          <w:sz w:val="22"/>
          <w:szCs w:val="22"/>
        </w:rPr>
        <w:t xml:space="preserve"> per kurį turi būti priimtas sprendimas dėl planavimo organizatoriaus pateikto kompleksinio teritorijų planavimo dokumento derinimo</w:t>
      </w:r>
      <w:r w:rsidR="00FE6607">
        <w:rPr>
          <w:rFonts w:asciiTheme="minorHAnsi" w:eastAsia="Calibri" w:hAnsiTheme="minorHAnsi" w:cstheme="minorHAnsi"/>
          <w:i/>
          <w:sz w:val="22"/>
          <w:szCs w:val="22"/>
        </w:rPr>
        <w:t>,</w:t>
      </w:r>
      <w:r w:rsidRPr="0031362B">
        <w:rPr>
          <w:rFonts w:asciiTheme="minorHAnsi" w:eastAsia="Calibri" w:hAnsiTheme="minorHAnsi" w:cstheme="minorHAnsi"/>
          <w:i/>
          <w:sz w:val="22"/>
          <w:szCs w:val="22"/>
        </w:rPr>
        <w:t xml:space="preserve"> pažeidimo teisinių pasekmių</w:t>
      </w:r>
      <w:bookmarkEnd w:id="35"/>
    </w:p>
    <w:p w14:paraId="2EE7B89D" w14:textId="77777777" w:rsidR="0031362B" w:rsidRPr="0031362B" w:rsidRDefault="0031362B" w:rsidP="0031362B">
      <w:pPr>
        <w:ind w:firstLine="567"/>
        <w:jc w:val="both"/>
        <w:rPr>
          <w:rFonts w:asciiTheme="minorHAnsi" w:hAnsiTheme="minorHAnsi" w:cstheme="minorHAnsi"/>
          <w:sz w:val="22"/>
          <w:szCs w:val="22"/>
        </w:rPr>
      </w:pPr>
    </w:p>
    <w:p w14:paraId="0AA21CB4" w14:textId="309EE3F4" w:rsidR="0031362B" w:rsidRPr="0031362B" w:rsidRDefault="0031362B" w:rsidP="0031362B">
      <w:pPr>
        <w:ind w:firstLine="567"/>
        <w:jc w:val="both"/>
        <w:rPr>
          <w:rFonts w:asciiTheme="minorHAnsi" w:hAnsiTheme="minorHAnsi" w:cstheme="minorHAnsi"/>
          <w:sz w:val="22"/>
          <w:szCs w:val="22"/>
        </w:rPr>
      </w:pPr>
      <w:r w:rsidRPr="0031362B">
        <w:rPr>
          <w:rFonts w:asciiTheme="minorHAnsi" w:hAnsiTheme="minorHAnsi" w:cstheme="minorHAnsi"/>
          <w:sz w:val="22"/>
          <w:szCs w:val="22"/>
        </w:rPr>
        <w:t>Apžvelgiamoje byloje nagrinėtas ginčas kilo dėl Vilniaus miesto savivaldybės administracijos Teritorijų planavimo komisijos 2022 m. gegužės 11 d. derinimo išvados, kuria atsisak</w:t>
      </w:r>
      <w:r w:rsidR="00FE6607">
        <w:rPr>
          <w:rFonts w:asciiTheme="minorHAnsi" w:hAnsiTheme="minorHAnsi" w:cstheme="minorHAnsi"/>
          <w:sz w:val="22"/>
          <w:szCs w:val="22"/>
        </w:rPr>
        <w:t>yta</w:t>
      </w:r>
      <w:r w:rsidRPr="0031362B">
        <w:rPr>
          <w:rFonts w:asciiTheme="minorHAnsi" w:hAnsiTheme="minorHAnsi" w:cstheme="minorHAnsi"/>
          <w:sz w:val="22"/>
          <w:szCs w:val="22"/>
        </w:rPr>
        <w:t xml:space="preserve"> derinti jai pateiktą detal</w:t>
      </w:r>
      <w:r w:rsidR="00FE6607">
        <w:rPr>
          <w:rFonts w:asciiTheme="minorHAnsi" w:hAnsiTheme="minorHAnsi" w:cstheme="minorHAnsi"/>
          <w:sz w:val="22"/>
          <w:szCs w:val="22"/>
        </w:rPr>
        <w:t>ų</w:t>
      </w:r>
      <w:r w:rsidRPr="0031362B">
        <w:rPr>
          <w:rFonts w:asciiTheme="minorHAnsi" w:hAnsiTheme="minorHAnsi" w:cstheme="minorHAnsi"/>
          <w:sz w:val="22"/>
          <w:szCs w:val="22"/>
        </w:rPr>
        <w:t>jį planą, bei pareiškėjos reikalavimo įpareigoti savivaldybės administraciją pateikti šį kompleksinio teritorijų planavimo dokumentą tikrinti Valstybinei teritorijų planavimo ir statybos inspekcijai.</w:t>
      </w:r>
    </w:p>
    <w:p w14:paraId="0833EBAD" w14:textId="66F289A1" w:rsidR="0031362B" w:rsidRPr="0031362B" w:rsidRDefault="0031362B" w:rsidP="0031362B">
      <w:pPr>
        <w:ind w:firstLine="567"/>
        <w:jc w:val="both"/>
        <w:rPr>
          <w:rFonts w:asciiTheme="minorHAnsi" w:hAnsiTheme="minorHAnsi" w:cstheme="minorHAnsi"/>
          <w:sz w:val="22"/>
          <w:szCs w:val="22"/>
        </w:rPr>
      </w:pPr>
      <w:r w:rsidRPr="0031362B">
        <w:rPr>
          <w:rFonts w:asciiTheme="minorHAnsi" w:hAnsiTheme="minorHAnsi" w:cstheme="minorHAnsi"/>
          <w:sz w:val="22"/>
          <w:szCs w:val="22"/>
        </w:rPr>
        <w:t>Pirmosios instancijos teismas panaikino ginčytą derinimo išvadą bei įpareigojo atsakovą iš naujo išnagrinėti prašymą dėl derinimo</w:t>
      </w:r>
      <w:r w:rsidR="00D46052">
        <w:rPr>
          <w:rFonts w:asciiTheme="minorHAnsi" w:hAnsiTheme="minorHAnsi" w:cstheme="minorHAnsi"/>
          <w:sz w:val="22"/>
          <w:szCs w:val="22"/>
        </w:rPr>
        <w:t>, tačiau</w:t>
      </w:r>
      <w:r w:rsidRPr="0031362B">
        <w:rPr>
          <w:rFonts w:asciiTheme="minorHAnsi" w:hAnsiTheme="minorHAnsi" w:cstheme="minorHAnsi"/>
          <w:sz w:val="22"/>
          <w:szCs w:val="22"/>
        </w:rPr>
        <w:t xml:space="preserve"> atmet</w:t>
      </w:r>
      <w:r w:rsidR="00D46052">
        <w:rPr>
          <w:rFonts w:asciiTheme="minorHAnsi" w:hAnsiTheme="minorHAnsi" w:cstheme="minorHAnsi"/>
          <w:sz w:val="22"/>
          <w:szCs w:val="22"/>
        </w:rPr>
        <w:t>ė</w:t>
      </w:r>
      <w:r w:rsidRPr="0031362B">
        <w:rPr>
          <w:rFonts w:asciiTheme="minorHAnsi" w:hAnsiTheme="minorHAnsi" w:cstheme="minorHAnsi"/>
          <w:sz w:val="22"/>
          <w:szCs w:val="22"/>
        </w:rPr>
        <w:t xml:space="preserve"> reikalavimą dėl įpareigojimo perduoti detal</w:t>
      </w:r>
      <w:r w:rsidR="00D46052">
        <w:rPr>
          <w:rFonts w:asciiTheme="minorHAnsi" w:hAnsiTheme="minorHAnsi" w:cstheme="minorHAnsi"/>
          <w:sz w:val="22"/>
          <w:szCs w:val="22"/>
        </w:rPr>
        <w:t>ų</w:t>
      </w:r>
      <w:r w:rsidRPr="0031362B">
        <w:rPr>
          <w:rFonts w:asciiTheme="minorHAnsi" w:hAnsiTheme="minorHAnsi" w:cstheme="minorHAnsi"/>
          <w:sz w:val="22"/>
          <w:szCs w:val="22"/>
        </w:rPr>
        <w:t>jį planą tikrinti teritorijų planavimo valstybinę priežiūrą atliekančiai institucijai.</w:t>
      </w:r>
    </w:p>
    <w:p w14:paraId="4AE50DDC" w14:textId="1E7455B9" w:rsidR="0031362B" w:rsidRPr="0031362B" w:rsidRDefault="0031362B" w:rsidP="0031362B">
      <w:pPr>
        <w:ind w:firstLine="567"/>
        <w:jc w:val="both"/>
        <w:rPr>
          <w:rFonts w:asciiTheme="minorHAnsi" w:hAnsiTheme="minorHAnsi" w:cstheme="minorHAnsi"/>
          <w:sz w:val="22"/>
          <w:szCs w:val="22"/>
        </w:rPr>
      </w:pPr>
      <w:r w:rsidRPr="0031362B">
        <w:rPr>
          <w:rFonts w:asciiTheme="minorHAnsi" w:hAnsiTheme="minorHAnsi" w:cstheme="minorHAnsi"/>
          <w:sz w:val="22"/>
          <w:szCs w:val="22"/>
        </w:rPr>
        <w:t>Pareiškėjo</w:t>
      </w:r>
      <w:r w:rsidR="00DB7BD2">
        <w:rPr>
          <w:rFonts w:asciiTheme="minorHAnsi" w:hAnsiTheme="minorHAnsi" w:cstheme="minorHAnsi"/>
          <w:sz w:val="22"/>
          <w:szCs w:val="22"/>
        </w:rPr>
        <w:t>s</w:t>
      </w:r>
      <w:r w:rsidRPr="0031362B">
        <w:rPr>
          <w:rFonts w:asciiTheme="minorHAnsi" w:hAnsiTheme="minorHAnsi" w:cstheme="minorHAnsi"/>
          <w:sz w:val="22"/>
          <w:szCs w:val="22"/>
        </w:rPr>
        <w:t xml:space="preserve"> apeliacinį skundą nagrinėjusi LVAT teisėjų kolegija su tokiu pirmosios instancijos teismo sprendimu nesutiko, pirmiausia akcentavusi, kad Teritorijų planavimo įstatymo (toliau – TPĮ) 26 straipsnio 8</w:t>
      </w:r>
      <w:r w:rsidR="00735A44">
        <w:rPr>
          <w:rFonts w:asciiTheme="minorHAnsi" w:hAnsiTheme="minorHAnsi" w:cstheme="minorHAnsi"/>
          <w:sz w:val="22"/>
          <w:szCs w:val="22"/>
        </w:rPr>
        <w:t> </w:t>
      </w:r>
      <w:r w:rsidRPr="0031362B">
        <w:rPr>
          <w:rFonts w:asciiTheme="minorHAnsi" w:hAnsiTheme="minorHAnsi" w:cstheme="minorHAnsi"/>
          <w:sz w:val="22"/>
          <w:szCs w:val="22"/>
        </w:rPr>
        <w:t xml:space="preserve">dalyje, be kita ko, nustatyta, </w:t>
      </w:r>
      <w:r w:rsidR="00735A44">
        <w:rPr>
          <w:rFonts w:asciiTheme="minorHAnsi" w:hAnsiTheme="minorHAnsi" w:cstheme="minorHAnsi"/>
          <w:sz w:val="22"/>
          <w:szCs w:val="22"/>
        </w:rPr>
        <w:t>jog</w:t>
      </w:r>
      <w:r w:rsidRPr="0031362B">
        <w:rPr>
          <w:rFonts w:asciiTheme="minorHAnsi" w:hAnsiTheme="minorHAnsi" w:cstheme="minorHAnsi"/>
          <w:sz w:val="22"/>
          <w:szCs w:val="22"/>
        </w:rPr>
        <w:t xml:space="preserve"> vietovės lygmens kompleksinio teritorijų planavimo dokumento derinimas atliekamas ne vėliau kaip per 10 darbo dienų nuo planavimo organizatoriaus prašymo derinti šį dokumentą pateikimo dienos. </w:t>
      </w:r>
      <w:r w:rsidR="00735A44">
        <w:rPr>
          <w:rFonts w:asciiTheme="minorHAnsi" w:hAnsiTheme="minorHAnsi" w:cstheme="minorHAnsi"/>
          <w:sz w:val="22"/>
          <w:szCs w:val="22"/>
        </w:rPr>
        <w:t>J</w:t>
      </w:r>
      <w:r w:rsidRPr="0031362B">
        <w:rPr>
          <w:rFonts w:asciiTheme="minorHAnsi" w:hAnsiTheme="minorHAnsi" w:cstheme="minorHAnsi"/>
          <w:sz w:val="22"/>
          <w:szCs w:val="22"/>
        </w:rPr>
        <w:t>eigu per šį terminą planavimo organizatoriui nepateikiama išvada ar Teritorijų planavimo komisijos posėdžio protokolas dėl kompleksinio teritorijų planavimo dokumento derinimo ar atsisakymo jį derinti, laikoma, kad derinanti institucija ar Teritorijų planavimo komisija šį dokumentą suderino ir jis gali būti teikiamas tikrinti teritorijų planavimo valstybinę priežiūrą atliekančiai institucijai (TPĮ 26 str. 12 d.).</w:t>
      </w:r>
    </w:p>
    <w:p w14:paraId="50518BBC" w14:textId="7EB1EE7B" w:rsidR="0031362B" w:rsidRPr="0031362B" w:rsidRDefault="0031362B" w:rsidP="0031362B">
      <w:pPr>
        <w:ind w:firstLine="567"/>
        <w:jc w:val="both"/>
        <w:rPr>
          <w:rFonts w:asciiTheme="minorHAnsi" w:hAnsiTheme="minorHAnsi" w:cstheme="minorHAnsi"/>
          <w:sz w:val="22"/>
          <w:szCs w:val="22"/>
        </w:rPr>
      </w:pPr>
      <w:r w:rsidRPr="0031362B">
        <w:rPr>
          <w:rFonts w:asciiTheme="minorHAnsi" w:hAnsiTheme="minorHAnsi" w:cstheme="minorHAnsi"/>
          <w:sz w:val="22"/>
          <w:szCs w:val="22"/>
        </w:rPr>
        <w:t xml:space="preserve">Kaip pažymėjo LVAT teisėjų kolegija, ginčo detalusis planas minėtai Teritorijų planavimo komisijai buvo pateiktas 2022 m. balandžio 20 d., todėl jo derinimas, vadovaujantis TPĮ 26 straipsnyje 8 dalies nuostatomis, taip pat atsižvelgiant į tai, kad nebuvo jokių duomenų apie termino pratęsimą, turėjo būti atliktas ne vėliau kaip per 10 darbo dienų nuo prašymo derinti pateikimo dienos, t. y. iki 2022 m. gegužės 4 d. </w:t>
      </w:r>
      <w:r w:rsidRPr="0031362B">
        <w:rPr>
          <w:rFonts w:asciiTheme="minorHAnsi" w:hAnsiTheme="minorHAnsi" w:cstheme="minorHAnsi"/>
          <w:sz w:val="22"/>
          <w:szCs w:val="22"/>
          <w:u w:val="single"/>
        </w:rPr>
        <w:t xml:space="preserve">Teritorijų planavimo komisijos </w:t>
      </w:r>
      <w:r w:rsidR="00735A44" w:rsidRPr="0031362B">
        <w:rPr>
          <w:rFonts w:asciiTheme="minorHAnsi" w:hAnsiTheme="minorHAnsi" w:cstheme="minorHAnsi"/>
          <w:sz w:val="22"/>
          <w:szCs w:val="22"/>
          <w:u w:val="single"/>
        </w:rPr>
        <w:t xml:space="preserve">2022 m. gegužės 11 d. </w:t>
      </w:r>
      <w:r w:rsidRPr="0031362B">
        <w:rPr>
          <w:rFonts w:asciiTheme="minorHAnsi" w:hAnsiTheme="minorHAnsi" w:cstheme="minorHAnsi"/>
          <w:sz w:val="22"/>
          <w:szCs w:val="22"/>
          <w:u w:val="single"/>
        </w:rPr>
        <w:t>posėdžio protokolas dėl atsisakymo derinti šį kompleksinio teritorijų planavimo dokumentą priimtas pasibaigus TPĮ 26 straipsnyje 8 dalyje nustatytam terminui, yra neteisėtas ir naikintinas visų pirma vien dėl šios priežasties</w:t>
      </w:r>
      <w:r w:rsidRPr="00735A44">
        <w:rPr>
          <w:rFonts w:asciiTheme="minorHAnsi" w:hAnsiTheme="minorHAnsi" w:cstheme="minorHAnsi"/>
          <w:sz w:val="22"/>
          <w:szCs w:val="22"/>
          <w:u w:val="single"/>
        </w:rPr>
        <w:t>. K</w:t>
      </w:r>
      <w:r w:rsidRPr="0031362B">
        <w:rPr>
          <w:rFonts w:asciiTheme="minorHAnsi" w:hAnsiTheme="minorHAnsi" w:cstheme="minorHAnsi"/>
          <w:sz w:val="22"/>
          <w:szCs w:val="22"/>
          <w:u w:val="single"/>
        </w:rPr>
        <w:t xml:space="preserve">adangi teritorijų planavimą reglamentuojantys teisės aktai nenumato, </w:t>
      </w:r>
      <w:r w:rsidR="00735A44">
        <w:rPr>
          <w:rFonts w:asciiTheme="minorHAnsi" w:hAnsiTheme="minorHAnsi" w:cstheme="minorHAnsi"/>
          <w:sz w:val="22"/>
          <w:szCs w:val="22"/>
          <w:u w:val="single"/>
        </w:rPr>
        <w:t>jog</w:t>
      </w:r>
      <w:r w:rsidRPr="0031362B">
        <w:rPr>
          <w:rFonts w:asciiTheme="minorHAnsi" w:hAnsiTheme="minorHAnsi" w:cstheme="minorHAnsi"/>
          <w:sz w:val="22"/>
          <w:szCs w:val="22"/>
          <w:u w:val="single"/>
        </w:rPr>
        <w:t>, pasibaigus Teritorijų planavimo įstatymo 26 straipsnyje 8 dalies nustatytiems kompleksinio teritorijų planavimo dokumentų derinimo terminams, Teritorijų planavimo komisijos posėdžio protokolas dėl kompleksinio teritorijų planavimo dokumento derinimo ar atsisakymo jį derinti gali būti priimamas, jį dėl šios priežasties panaikinus, turi būti taikomos TPĮ 26 straipsnio 12 dalies nuostatos</w:t>
      </w:r>
      <w:r w:rsidRPr="0031362B">
        <w:rPr>
          <w:rFonts w:asciiTheme="minorHAnsi" w:hAnsiTheme="minorHAnsi" w:cstheme="minorHAnsi"/>
          <w:sz w:val="22"/>
          <w:szCs w:val="22"/>
        </w:rPr>
        <w:t>.</w:t>
      </w:r>
    </w:p>
    <w:p w14:paraId="636A8AD4" w14:textId="77777777" w:rsidR="0031362B" w:rsidRPr="0031362B" w:rsidRDefault="0031362B" w:rsidP="0031362B">
      <w:pPr>
        <w:ind w:firstLine="567"/>
        <w:jc w:val="both"/>
        <w:rPr>
          <w:rFonts w:asciiTheme="minorHAnsi" w:hAnsiTheme="minorHAnsi" w:cstheme="minorHAnsi"/>
          <w:sz w:val="22"/>
          <w:szCs w:val="22"/>
        </w:rPr>
      </w:pPr>
      <w:r w:rsidRPr="0031362B">
        <w:rPr>
          <w:rFonts w:asciiTheme="minorHAnsi" w:hAnsiTheme="minorHAnsi" w:cstheme="minorHAnsi"/>
          <w:sz w:val="22"/>
          <w:szCs w:val="22"/>
        </w:rPr>
        <w:t>LVAT pirmosios instancijos teismo sprendimą pakeitė.</w:t>
      </w:r>
    </w:p>
    <w:p w14:paraId="095CD790" w14:textId="77777777" w:rsidR="0031362B" w:rsidRPr="0031362B" w:rsidRDefault="0031362B" w:rsidP="0031362B">
      <w:pPr>
        <w:jc w:val="both"/>
        <w:rPr>
          <w:rFonts w:asciiTheme="minorHAnsi" w:hAnsiTheme="minorHAnsi" w:cstheme="minorHAnsi"/>
          <w:sz w:val="22"/>
          <w:szCs w:val="22"/>
        </w:rPr>
      </w:pPr>
    </w:p>
    <w:p w14:paraId="49C65C0B" w14:textId="0B16DE39" w:rsidR="0031362B" w:rsidRPr="0031362B" w:rsidRDefault="0031362B" w:rsidP="0031362B">
      <w:pPr>
        <w:jc w:val="both"/>
        <w:rPr>
          <w:rFonts w:asciiTheme="minorHAnsi" w:hAnsiTheme="minorHAnsi" w:cstheme="minorHAnsi"/>
          <w:sz w:val="22"/>
          <w:szCs w:val="22"/>
        </w:rPr>
      </w:pPr>
      <w:r w:rsidRPr="0031362B">
        <w:rPr>
          <w:rFonts w:asciiTheme="minorHAnsi" w:hAnsiTheme="minorHAnsi" w:cstheme="minorHAnsi"/>
          <w:sz w:val="22"/>
          <w:szCs w:val="22"/>
        </w:rPr>
        <w:t>2024 m. lapkričio 27 d. nutartis administracinėje byloje Nr. eA-1450-624/2024</w:t>
      </w:r>
    </w:p>
    <w:p w14:paraId="59C5FCB1" w14:textId="77777777" w:rsidR="0031362B" w:rsidRPr="0031362B" w:rsidRDefault="0031362B" w:rsidP="0031362B">
      <w:pPr>
        <w:jc w:val="both"/>
        <w:rPr>
          <w:rFonts w:asciiTheme="minorHAnsi" w:hAnsiTheme="minorHAnsi" w:cstheme="minorHAnsi"/>
          <w:sz w:val="22"/>
          <w:szCs w:val="22"/>
        </w:rPr>
      </w:pPr>
      <w:r w:rsidRPr="0031362B">
        <w:rPr>
          <w:rFonts w:asciiTheme="minorHAnsi" w:hAnsiTheme="minorHAnsi" w:cstheme="minorHAnsi"/>
          <w:sz w:val="22"/>
          <w:szCs w:val="22"/>
        </w:rPr>
        <w:t>Teisminio proceso Nr. 3-61-3-02490-2022-4</w:t>
      </w:r>
    </w:p>
    <w:p w14:paraId="1B7C0551" w14:textId="77777777" w:rsidR="0031362B" w:rsidRPr="0031362B" w:rsidRDefault="0031362B" w:rsidP="0031362B">
      <w:pPr>
        <w:jc w:val="both"/>
        <w:rPr>
          <w:rStyle w:val="Hyperlink"/>
          <w:rFonts w:asciiTheme="minorHAnsi" w:hAnsiTheme="minorHAnsi" w:cstheme="minorHAnsi"/>
          <w:sz w:val="22"/>
          <w:szCs w:val="22"/>
        </w:rPr>
      </w:pPr>
      <w:hyperlink r:id="rId22" w:history="1">
        <w:r w:rsidRPr="0031362B">
          <w:rPr>
            <w:rStyle w:val="Hyperlink"/>
            <w:rFonts w:asciiTheme="minorHAnsi" w:hAnsiTheme="minorHAnsi" w:cstheme="minorHAnsi"/>
            <w:sz w:val="22"/>
            <w:szCs w:val="22"/>
          </w:rPr>
          <w:t>Prieiga internete</w:t>
        </w:r>
      </w:hyperlink>
    </w:p>
    <w:p w14:paraId="4A85A81B" w14:textId="77777777" w:rsidR="0031362B" w:rsidRPr="00C2617F" w:rsidRDefault="0031362B" w:rsidP="008F47B7">
      <w:pPr>
        <w:ind w:firstLine="567"/>
        <w:jc w:val="both"/>
        <w:rPr>
          <w:rFonts w:asciiTheme="minorHAnsi" w:hAnsiTheme="minorHAnsi" w:cstheme="minorHAnsi"/>
          <w:sz w:val="22"/>
          <w:szCs w:val="22"/>
        </w:rPr>
      </w:pPr>
    </w:p>
    <w:p w14:paraId="2F622975" w14:textId="77777777" w:rsidR="00BD06C7" w:rsidRPr="00BD06C7" w:rsidRDefault="00BD06C7" w:rsidP="00BD06C7">
      <w:pPr>
        <w:pStyle w:val="Apzvalgai1"/>
        <w:rPr>
          <w:rFonts w:asciiTheme="minorHAnsi" w:hAnsiTheme="minorHAnsi" w:cstheme="minorHAnsi"/>
        </w:rPr>
      </w:pPr>
      <w:bookmarkStart w:id="36" w:name="_Toc187075148"/>
      <w:r w:rsidRPr="00BD06C7">
        <w:rPr>
          <w:rFonts w:asciiTheme="minorHAnsi" w:hAnsiTheme="minorHAnsi" w:cstheme="minorHAnsi"/>
        </w:rPr>
        <w:t>19. Registrai</w:t>
      </w:r>
      <w:bookmarkEnd w:id="36"/>
    </w:p>
    <w:p w14:paraId="63DD3CB4" w14:textId="77777777" w:rsidR="00BD06C7" w:rsidRPr="00F73DCE" w:rsidRDefault="00BD06C7" w:rsidP="00BD06C7">
      <w:pPr>
        <w:ind w:firstLine="567"/>
        <w:rPr>
          <w:rFonts w:ascii="Calibri" w:hAnsi="Calibri"/>
          <w:b/>
          <w:bCs/>
          <w:sz w:val="22"/>
          <w:szCs w:val="22"/>
          <w:u w:val="single"/>
        </w:rPr>
      </w:pPr>
      <w:r w:rsidRPr="00F73DCE">
        <w:rPr>
          <w:rFonts w:ascii="Calibri" w:hAnsi="Calibri"/>
          <w:b/>
          <w:sz w:val="22"/>
          <w:szCs w:val="22"/>
          <w:u w:val="single"/>
        </w:rPr>
        <w:t>19.4. Kiti su registrais susiję klausimai</w:t>
      </w:r>
    </w:p>
    <w:p w14:paraId="396E9F01" w14:textId="77777777" w:rsidR="00BD06C7" w:rsidRPr="00F73DCE" w:rsidRDefault="00BD06C7" w:rsidP="00BD06C7">
      <w:pPr>
        <w:ind w:firstLine="567"/>
        <w:jc w:val="both"/>
        <w:rPr>
          <w:rFonts w:asciiTheme="minorHAnsi" w:hAnsiTheme="minorHAnsi" w:cstheme="minorHAnsi"/>
          <w:sz w:val="22"/>
          <w:szCs w:val="22"/>
        </w:rPr>
      </w:pPr>
    </w:p>
    <w:p w14:paraId="63D6CC7E" w14:textId="77777777" w:rsidR="00BD06C7" w:rsidRPr="00BD06C7" w:rsidRDefault="00BD06C7" w:rsidP="00BD06C7">
      <w:pPr>
        <w:jc w:val="both"/>
        <w:outlineLvl w:val="1"/>
        <w:rPr>
          <w:rFonts w:asciiTheme="minorHAnsi" w:eastAsia="Calibri" w:hAnsiTheme="minorHAnsi" w:cstheme="minorHAnsi"/>
          <w:i/>
          <w:sz w:val="22"/>
          <w:szCs w:val="22"/>
        </w:rPr>
      </w:pPr>
      <w:bookmarkStart w:id="37" w:name="_Toc187075149"/>
      <w:r w:rsidRPr="00BD06C7">
        <w:rPr>
          <w:rFonts w:asciiTheme="minorHAnsi" w:eastAsia="Calibri" w:hAnsiTheme="minorHAnsi" w:cstheme="minorHAnsi"/>
          <w:i/>
          <w:sz w:val="22"/>
          <w:szCs w:val="22"/>
        </w:rPr>
        <w:t>Dėl duomenų apie uždarosios akcinės bendrovės akcininko sudarytus akcijų perleidimo sandorius pateikimo Juridinių asmenų dalyvių informacinėje sistemoje tvarkos</w:t>
      </w:r>
      <w:bookmarkEnd w:id="37"/>
    </w:p>
    <w:p w14:paraId="426FE387" w14:textId="77777777" w:rsidR="00BD06C7" w:rsidRPr="00F73DCE" w:rsidRDefault="00BD06C7" w:rsidP="00BD06C7">
      <w:pPr>
        <w:ind w:firstLine="567"/>
        <w:jc w:val="both"/>
        <w:rPr>
          <w:rFonts w:asciiTheme="minorHAnsi" w:hAnsiTheme="minorHAnsi" w:cstheme="minorHAnsi"/>
          <w:sz w:val="22"/>
          <w:szCs w:val="22"/>
        </w:rPr>
      </w:pPr>
    </w:p>
    <w:p w14:paraId="59787F25" w14:textId="77777777" w:rsidR="00BD06C7" w:rsidRPr="00F73DCE" w:rsidRDefault="00BD06C7" w:rsidP="00BD06C7">
      <w:pPr>
        <w:ind w:firstLine="567"/>
        <w:jc w:val="both"/>
        <w:rPr>
          <w:rFonts w:asciiTheme="minorHAnsi" w:hAnsiTheme="minorHAnsi" w:cstheme="minorHAnsi"/>
          <w:sz w:val="22"/>
          <w:szCs w:val="22"/>
        </w:rPr>
      </w:pPr>
      <w:r w:rsidRPr="00F73DCE">
        <w:rPr>
          <w:rFonts w:asciiTheme="minorHAnsi" w:hAnsiTheme="minorHAnsi" w:cstheme="minorHAnsi"/>
          <w:sz w:val="22"/>
          <w:szCs w:val="22"/>
        </w:rPr>
        <w:t>Byloje nagrinėtas ginčas kilo dėl VĮ Registrų centro sprendimo, kuriuo netenkintas pareiškėjos prašymas Juridinių asmenų dalyvių informacinėje sistemoje (toliau – JADIS) pakeisti (atnaujinti) jos duomenis ir duomenis apie UAB „Build Stuff Training“, „Fix Management“ bei „G. Y. Consulting“ (toliau – Bendrovės) akcininkus, pareiškėjai pardavus šių Bendrovių akcijas, teisėtumo ir pagrįstumo.</w:t>
      </w:r>
    </w:p>
    <w:p w14:paraId="7EB284C1" w14:textId="77777777" w:rsidR="00BD06C7" w:rsidRPr="00F73DCE" w:rsidRDefault="00BD06C7" w:rsidP="00BD06C7">
      <w:pPr>
        <w:ind w:firstLine="567"/>
        <w:jc w:val="both"/>
        <w:rPr>
          <w:rFonts w:asciiTheme="minorHAnsi" w:hAnsiTheme="minorHAnsi" w:cstheme="minorHAnsi"/>
          <w:sz w:val="22"/>
          <w:szCs w:val="22"/>
        </w:rPr>
      </w:pPr>
      <w:r w:rsidRPr="00F73DCE">
        <w:rPr>
          <w:rFonts w:asciiTheme="minorHAnsi" w:hAnsiTheme="minorHAnsi" w:cstheme="minorHAnsi"/>
          <w:sz w:val="22"/>
          <w:szCs w:val="22"/>
        </w:rPr>
        <w:t>Pirmosios instancijos teismas pareiškėjos skundą atmetė, konstatavęs, kad duomenis JADIS gali teikti tik juridinio asmens vadovas arba jo įgaliotas fizinis asmuo, o pareiškėja nepatenka į šių subjektų sąrašą.</w:t>
      </w:r>
    </w:p>
    <w:p w14:paraId="219BE9E9" w14:textId="64643B79" w:rsidR="00BD06C7" w:rsidRPr="00F73DCE" w:rsidRDefault="00BD06C7" w:rsidP="00BD06C7">
      <w:pPr>
        <w:ind w:firstLine="567"/>
        <w:jc w:val="both"/>
        <w:rPr>
          <w:rFonts w:asciiTheme="minorHAnsi" w:hAnsiTheme="minorHAnsi" w:cstheme="minorHAnsi"/>
          <w:sz w:val="22"/>
          <w:szCs w:val="22"/>
        </w:rPr>
      </w:pPr>
      <w:r w:rsidRPr="00F73DCE">
        <w:rPr>
          <w:rFonts w:asciiTheme="minorHAnsi" w:hAnsiTheme="minorHAnsi" w:cstheme="minorHAnsi"/>
          <w:sz w:val="22"/>
          <w:szCs w:val="22"/>
        </w:rPr>
        <w:lastRenderedPageBreak/>
        <w:t>LVAT pažymėjo, jog sisteminis ginčui aktualių teisės aktų nuostatų, be kita ko, kad duomenis JADIS teikia juridinio asmens valdymo organas, jei įstatymuose ir steigimo dokumentuose nenurodyta kitaip, arba kitas juridinio asmens vardu įgaliotas teikti duomenis sistemai fizinis asmuo (JADIS nuostatų</w:t>
      </w:r>
      <w:r w:rsidRPr="00F73DCE">
        <w:rPr>
          <w:rStyle w:val="FootnoteReference"/>
          <w:rFonts w:asciiTheme="minorHAnsi" w:hAnsiTheme="minorHAnsi" w:cstheme="minorHAnsi"/>
          <w:sz w:val="22"/>
          <w:szCs w:val="22"/>
        </w:rPr>
        <w:footnoteReference w:id="7"/>
      </w:r>
      <w:r w:rsidRPr="00F73DCE">
        <w:rPr>
          <w:rFonts w:asciiTheme="minorHAnsi" w:hAnsiTheme="minorHAnsi" w:cstheme="minorHAnsi"/>
          <w:sz w:val="22"/>
          <w:szCs w:val="22"/>
        </w:rPr>
        <w:t xml:space="preserve"> 11.1 p.), kad už nurodytų duomenų pateikimą JADIS tvarkytojui atsakingas bendrovės vadovas (Akcinių bendrovių įstatymo </w:t>
      </w:r>
      <w:bookmarkStart w:id="38" w:name="_Hlk182822300"/>
      <w:r w:rsidRPr="00F73DCE">
        <w:rPr>
          <w:rFonts w:asciiTheme="minorHAnsi" w:hAnsiTheme="minorHAnsi" w:cstheme="minorHAnsi"/>
          <w:sz w:val="22"/>
          <w:szCs w:val="22"/>
        </w:rPr>
        <w:t>41</w:t>
      </w:r>
      <w:r w:rsidRPr="00F73DCE">
        <w:rPr>
          <w:rFonts w:asciiTheme="minorHAnsi" w:hAnsiTheme="minorHAnsi" w:cstheme="minorHAnsi"/>
          <w:sz w:val="22"/>
          <w:szCs w:val="22"/>
          <w:vertAlign w:val="superscript"/>
        </w:rPr>
        <w:t>1</w:t>
      </w:r>
      <w:r w:rsidRPr="00F73DCE">
        <w:rPr>
          <w:rFonts w:asciiTheme="minorHAnsi" w:hAnsiTheme="minorHAnsi" w:cstheme="minorHAnsi"/>
          <w:sz w:val="22"/>
          <w:szCs w:val="22"/>
        </w:rPr>
        <w:t xml:space="preserve"> str</w:t>
      </w:r>
      <w:bookmarkEnd w:id="38"/>
      <w:r w:rsidRPr="00F73DCE">
        <w:rPr>
          <w:rFonts w:asciiTheme="minorHAnsi" w:hAnsiTheme="minorHAnsi" w:cstheme="minorHAnsi"/>
          <w:sz w:val="22"/>
          <w:szCs w:val="22"/>
        </w:rPr>
        <w:t>. 1, 3</w:t>
      </w:r>
      <w:r w:rsidR="00345220">
        <w:rPr>
          <w:rFonts w:asciiTheme="minorHAnsi" w:hAnsiTheme="minorHAnsi" w:cstheme="minorHAnsi"/>
          <w:sz w:val="22"/>
          <w:szCs w:val="22"/>
        </w:rPr>
        <w:t> </w:t>
      </w:r>
      <w:r w:rsidRPr="00F73DCE">
        <w:rPr>
          <w:rFonts w:asciiTheme="minorHAnsi" w:hAnsiTheme="minorHAnsi" w:cstheme="minorHAnsi"/>
          <w:sz w:val="22"/>
          <w:szCs w:val="22"/>
        </w:rPr>
        <w:t xml:space="preserve">d.), aiškinimas paneigia pareiškėjos teiginius dėl galimo poįstatyminio akto prieštaravimo aukštesnės galios teisės aktui. </w:t>
      </w:r>
      <w:r w:rsidRPr="00F73DCE">
        <w:rPr>
          <w:rFonts w:asciiTheme="minorHAnsi" w:hAnsiTheme="minorHAnsi" w:cstheme="minorHAnsi"/>
          <w:sz w:val="22"/>
          <w:szCs w:val="22"/>
          <w:u w:val="single"/>
        </w:rPr>
        <w:t>Įstatyme įtvirtinta bendrovės vadovo atsakomybė suponuoja atitinkamas jo pareigas – šiuo atveju aktualių duomenų pateikimą JADIS teisės aktų nustatyta tvarka</w:t>
      </w:r>
      <w:r w:rsidRPr="00F73DCE">
        <w:rPr>
          <w:rFonts w:asciiTheme="minorHAnsi" w:hAnsiTheme="minorHAnsi" w:cstheme="minorHAnsi"/>
          <w:sz w:val="22"/>
          <w:szCs w:val="22"/>
        </w:rPr>
        <w:t>. Aiškindamas šių normų pobūdį, pirmosios instancijos teismas pagrįstai rėmėsi viešojoje teisėje dominuojančiu imperatyviuoju teisinio reguliavimo metodu, nes aptariamose teisės nuostatose nėra numatyta kokių nors galimų kitokio veikimo būdų, taigi teisės santykio subjektų elgesys apribotas konkrečiu nustatytu būdu, nėra dispozityvaus elgesio galimybių.</w:t>
      </w:r>
    </w:p>
    <w:p w14:paraId="7569449E" w14:textId="7806C844" w:rsidR="00BD06C7" w:rsidRPr="00A77F34" w:rsidRDefault="00BD06C7" w:rsidP="79280C20">
      <w:pPr>
        <w:ind w:firstLine="567"/>
        <w:jc w:val="both"/>
        <w:rPr>
          <w:rFonts w:asciiTheme="minorHAnsi" w:hAnsiTheme="minorHAnsi" w:cstheme="minorBidi"/>
          <w:sz w:val="22"/>
          <w:szCs w:val="22"/>
          <w:u w:val="single"/>
        </w:rPr>
      </w:pPr>
      <w:r w:rsidRPr="79280C20">
        <w:rPr>
          <w:rFonts w:asciiTheme="minorHAnsi" w:hAnsiTheme="minorHAnsi" w:cstheme="minorBidi"/>
          <w:sz w:val="22"/>
          <w:szCs w:val="22"/>
        </w:rPr>
        <w:t>Pareiškėjos apeliacinio skundo argumentus, kad ginčo santykiams taikytinos CK 2.68 straipsnio nuostatos, numatančios, jog Juridinių asmenų registro (toliau – JAR) tvarkytojas, atsisakydamas registruoti juridinio asmens dokumentų ar duomenų pakeitimus, privalo priimti motyvuotą sprendimą, LVAT laikė nepagrįstais, nes ši nuostata skirta reglamentuoti kitokio pobūdžio teisinius santykius. Pagal Juridinių asmenų registro įstatymo 3</w:t>
      </w:r>
      <w:r w:rsidR="00345220" w:rsidRPr="79280C20">
        <w:rPr>
          <w:rFonts w:asciiTheme="minorHAnsi" w:hAnsiTheme="minorHAnsi" w:cstheme="minorBidi"/>
          <w:sz w:val="22"/>
          <w:szCs w:val="22"/>
        </w:rPr>
        <w:t> </w:t>
      </w:r>
      <w:r w:rsidRPr="79280C20">
        <w:rPr>
          <w:rFonts w:asciiTheme="minorHAnsi" w:hAnsiTheme="minorHAnsi" w:cstheme="minorBidi"/>
          <w:sz w:val="22"/>
          <w:szCs w:val="22"/>
        </w:rPr>
        <w:t>straipsnį JAR steigėja yra Vyriausybė, valdytojas – Teisingumo ministerija, o tvarkytojas – VĮ Registrų centras. Pagal JAR nuostatus</w:t>
      </w:r>
      <w:r w:rsidRPr="79280C20">
        <w:rPr>
          <w:rStyle w:val="FootnoteReference"/>
          <w:rFonts w:asciiTheme="minorHAnsi" w:hAnsiTheme="minorHAnsi" w:cstheme="minorBidi"/>
          <w:sz w:val="22"/>
          <w:szCs w:val="22"/>
        </w:rPr>
        <w:footnoteReference w:id="8"/>
      </w:r>
      <w:r w:rsidRPr="79280C20">
        <w:rPr>
          <w:rFonts w:asciiTheme="minorHAnsi" w:hAnsiTheme="minorHAnsi" w:cstheme="minorBidi"/>
          <w:sz w:val="22"/>
          <w:szCs w:val="22"/>
        </w:rPr>
        <w:t xml:space="preserve"> tarp JAR tvarkomų duomenų nepatenka duomenys apie uždarųjų akcinių bendrovių akcininkus bei jų akcijų įgijimą ar perleidimą, kai uždarosios akcinės bendrovės akcininkais yra daugiau negu vienas asmuo, taip pat nėra numatyta galimybė uždarosios akcinės bendrovės akcininkui teikti duomenis JAR. Duomenys apie uždarosios akcinės bendrovės akcininkus yra kaupiami JADIS, juos teikti gali juridinio asmens valdymo organas, jei įstatymuose ir steigimo dokumentuose nenurodyta kitaip, arba kitas juridinio asmens vardu įgaliotas teikti duomenis sistemai fizinis asmuo; įgaliotas asmuo gali teikti duomenis, jei įgaliojimas pateiktas sistemos tvarkytojo nustatyta tvarka ir priemonėmis (JADIS nuostatų 11.1 p., 15.6 p.). </w:t>
      </w:r>
      <w:r w:rsidRPr="79280C20">
        <w:rPr>
          <w:rFonts w:asciiTheme="minorHAnsi" w:hAnsiTheme="minorHAnsi" w:cstheme="minorBidi"/>
          <w:sz w:val="22"/>
          <w:szCs w:val="22"/>
          <w:u w:val="single"/>
        </w:rPr>
        <w:t xml:space="preserve">Aplinkybė, kad JADIS valdytojas taip pat yra Teisingumo ministerija, o tvarkytojas – VĮ Registrų centras, savaime nekeičia nustatytos duomenų apie uždaros akcinės bendrovės akcininko sudarytus akcijų perleidimo sandorius pateikimo tvarkos, nes JAR ir JADIS yra skirtingas funkcijas atliekantys bei skirtingus duomenis tvarkantys </w:t>
      </w:r>
      <w:r w:rsidRPr="00A77F34">
        <w:rPr>
          <w:rFonts w:asciiTheme="minorHAnsi" w:hAnsiTheme="minorHAnsi" w:cstheme="minorBidi"/>
          <w:sz w:val="22"/>
          <w:szCs w:val="22"/>
          <w:u w:val="single"/>
        </w:rPr>
        <w:t>registrai.</w:t>
      </w:r>
    </w:p>
    <w:p w14:paraId="627A4B58" w14:textId="77777777" w:rsidR="00BD06C7" w:rsidRPr="00F73DCE" w:rsidRDefault="00BD06C7" w:rsidP="00BD06C7">
      <w:pPr>
        <w:ind w:firstLine="567"/>
        <w:jc w:val="both"/>
        <w:rPr>
          <w:rFonts w:asciiTheme="minorHAnsi" w:hAnsiTheme="minorHAnsi" w:cstheme="minorHAnsi"/>
          <w:sz w:val="22"/>
          <w:szCs w:val="22"/>
          <w:lang w:bidi="lt-LT"/>
        </w:rPr>
      </w:pPr>
      <w:r w:rsidRPr="00F73DCE">
        <w:rPr>
          <w:rFonts w:asciiTheme="minorHAnsi" w:hAnsiTheme="minorHAnsi" w:cstheme="minorHAnsi"/>
          <w:sz w:val="22"/>
          <w:szCs w:val="22"/>
        </w:rPr>
        <w:t>Pareiškėja taip pat teigė, kad nustatyta duomenų apie perleistas uždarosios akcinės bendrovės akcijas pateikimo tvarka jos konkrečioje situacijoje (</w:t>
      </w:r>
      <w:r w:rsidRPr="00F73DCE">
        <w:rPr>
          <w:rFonts w:asciiTheme="minorHAnsi" w:hAnsiTheme="minorHAnsi" w:cstheme="minorHAnsi"/>
          <w:sz w:val="22"/>
          <w:szCs w:val="22"/>
          <w:lang w:bidi="lt-LT"/>
        </w:rPr>
        <w:t>skundo surašymo dieną tarp pareiškėjos ir juridinių asmenų vadovo vyksta teisinis ginčas (skyrybų procesas))</w:t>
      </w:r>
      <w:r w:rsidRPr="00F73DCE">
        <w:rPr>
          <w:rFonts w:asciiTheme="minorHAnsi" w:hAnsiTheme="minorHAnsi" w:cstheme="minorHAnsi"/>
          <w:sz w:val="22"/>
          <w:szCs w:val="22"/>
        </w:rPr>
        <w:t xml:space="preserve"> riboja jos nuosavybės teises. Tačiau LVAT </w:t>
      </w:r>
      <w:r>
        <w:rPr>
          <w:rFonts w:asciiTheme="minorHAnsi" w:hAnsiTheme="minorHAnsi" w:cstheme="minorHAnsi"/>
          <w:sz w:val="22"/>
          <w:szCs w:val="22"/>
        </w:rPr>
        <w:t xml:space="preserve">sprendė, jog šie argumentai </w:t>
      </w:r>
      <w:r w:rsidRPr="00F73DCE">
        <w:rPr>
          <w:rFonts w:asciiTheme="minorHAnsi" w:hAnsiTheme="minorHAnsi" w:cstheme="minorHAnsi"/>
          <w:sz w:val="22"/>
          <w:szCs w:val="22"/>
        </w:rPr>
        <w:t>nesudaro pagrindo pripažinti atsakovo veiksmus neteisėtais</w:t>
      </w:r>
      <w:r>
        <w:rPr>
          <w:rFonts w:asciiTheme="minorHAnsi" w:hAnsiTheme="minorHAnsi" w:cstheme="minorHAnsi"/>
          <w:sz w:val="22"/>
          <w:szCs w:val="22"/>
        </w:rPr>
        <w:t xml:space="preserve">. Teisėjų kolegija </w:t>
      </w:r>
      <w:r w:rsidRPr="00F73DCE">
        <w:rPr>
          <w:rFonts w:asciiTheme="minorHAnsi" w:hAnsiTheme="minorHAnsi" w:cstheme="minorHAnsi"/>
          <w:sz w:val="22"/>
          <w:szCs w:val="22"/>
        </w:rPr>
        <w:t>atkreipė dėmesį, kad siekdama realizuoti savo akcininkės teises, disponavimas kuriomis iš esmės yra reglamentuojamas privatinės teisės normų, jas pareiškėja gali ginti Akcinių bendrovių įstatymo 41</w:t>
      </w:r>
      <w:r w:rsidRPr="00F73DCE">
        <w:rPr>
          <w:rFonts w:asciiTheme="minorHAnsi" w:hAnsiTheme="minorHAnsi" w:cstheme="minorHAnsi"/>
          <w:sz w:val="22"/>
          <w:szCs w:val="22"/>
          <w:vertAlign w:val="superscript"/>
        </w:rPr>
        <w:t>1</w:t>
      </w:r>
      <w:r>
        <w:rPr>
          <w:rFonts w:asciiTheme="minorHAnsi" w:hAnsiTheme="minorHAnsi" w:cstheme="minorHAnsi"/>
          <w:sz w:val="22"/>
          <w:szCs w:val="22"/>
        </w:rPr>
        <w:t> </w:t>
      </w:r>
      <w:r w:rsidRPr="00F73DCE">
        <w:rPr>
          <w:rFonts w:asciiTheme="minorHAnsi" w:hAnsiTheme="minorHAnsi" w:cstheme="minorHAnsi"/>
          <w:sz w:val="22"/>
          <w:szCs w:val="22"/>
        </w:rPr>
        <w:t xml:space="preserve">straipsnio 4 dalyje numatytu būdu – ginčydama </w:t>
      </w:r>
      <w:r w:rsidRPr="00F73DCE">
        <w:rPr>
          <w:rFonts w:asciiTheme="minorHAnsi" w:hAnsiTheme="minorHAnsi" w:cstheme="minorHAnsi"/>
          <w:sz w:val="22"/>
          <w:szCs w:val="22"/>
          <w:lang w:bidi="lt-LT"/>
        </w:rPr>
        <w:t>Bendrovių vadovo (pareiškėjos buvęs sutuoktinis) neveikimą, t. y. įstatyme nustatytos prievolės nevykdymą, civiline tvarka bendrosios kompetencijos teisme.</w:t>
      </w:r>
    </w:p>
    <w:p w14:paraId="08A9692E" w14:textId="77777777" w:rsidR="00BD06C7" w:rsidRPr="00F73DCE" w:rsidRDefault="00BD06C7" w:rsidP="00BD06C7">
      <w:pPr>
        <w:ind w:firstLine="567"/>
        <w:jc w:val="both"/>
        <w:rPr>
          <w:rFonts w:asciiTheme="minorHAnsi" w:hAnsiTheme="minorHAnsi" w:cstheme="minorHAnsi"/>
          <w:sz w:val="22"/>
          <w:szCs w:val="22"/>
        </w:rPr>
      </w:pPr>
      <w:r w:rsidRPr="00F73DCE">
        <w:rPr>
          <w:rFonts w:asciiTheme="minorHAnsi" w:hAnsiTheme="minorHAnsi" w:cstheme="minorHAnsi"/>
          <w:sz w:val="22"/>
          <w:szCs w:val="22"/>
          <w:lang w:bidi="lt-LT"/>
        </w:rPr>
        <w:t>Šiomis aplinkybėmis pareiškėjos apeliacinis skundas atmestas, pirmosios instancijos teismo sprendimas paliktas nepakeistas.</w:t>
      </w:r>
    </w:p>
    <w:p w14:paraId="6634C700" w14:textId="77777777" w:rsidR="00BD06C7" w:rsidRPr="00F73DCE" w:rsidRDefault="00BD06C7" w:rsidP="00BD06C7">
      <w:pPr>
        <w:ind w:firstLine="567"/>
        <w:jc w:val="both"/>
        <w:rPr>
          <w:rFonts w:asciiTheme="minorHAnsi" w:hAnsiTheme="minorHAnsi" w:cstheme="minorHAnsi"/>
          <w:sz w:val="22"/>
          <w:szCs w:val="22"/>
        </w:rPr>
      </w:pPr>
    </w:p>
    <w:p w14:paraId="11C33B2C" w14:textId="77777777" w:rsidR="00BD06C7" w:rsidRPr="00F73DCE" w:rsidRDefault="00BD06C7" w:rsidP="00BD06C7">
      <w:pPr>
        <w:jc w:val="both"/>
        <w:rPr>
          <w:rFonts w:asciiTheme="minorHAnsi" w:hAnsiTheme="minorHAnsi" w:cstheme="minorHAnsi"/>
          <w:sz w:val="22"/>
          <w:szCs w:val="22"/>
        </w:rPr>
      </w:pPr>
      <w:r w:rsidRPr="00F73DCE">
        <w:rPr>
          <w:rFonts w:asciiTheme="minorHAnsi" w:hAnsiTheme="minorHAnsi" w:cstheme="minorHAnsi"/>
          <w:bCs/>
          <w:sz w:val="22"/>
          <w:szCs w:val="22"/>
        </w:rPr>
        <w:t xml:space="preserve">2024 m. lapkričio 20 </w:t>
      </w:r>
      <w:r w:rsidRPr="00F73DCE">
        <w:rPr>
          <w:rFonts w:asciiTheme="minorHAnsi" w:hAnsiTheme="minorHAnsi" w:cstheme="minorHAnsi"/>
          <w:sz w:val="22"/>
          <w:szCs w:val="22"/>
        </w:rPr>
        <w:t xml:space="preserve">d. nutartis administracinėje byloje Nr. </w:t>
      </w:r>
      <w:r w:rsidRPr="00F73DCE">
        <w:rPr>
          <w:rFonts w:asciiTheme="minorHAnsi" w:hAnsiTheme="minorHAnsi" w:cstheme="minorHAnsi"/>
          <w:bCs/>
          <w:sz w:val="22"/>
          <w:szCs w:val="22"/>
        </w:rPr>
        <w:t>eA-329-492/2024</w:t>
      </w:r>
    </w:p>
    <w:p w14:paraId="09C1B73E" w14:textId="77777777" w:rsidR="00BD06C7" w:rsidRPr="00F73DCE" w:rsidRDefault="00BD06C7" w:rsidP="00BD06C7">
      <w:pPr>
        <w:jc w:val="both"/>
        <w:rPr>
          <w:rFonts w:asciiTheme="minorHAnsi" w:hAnsiTheme="minorHAnsi" w:cstheme="minorHAnsi"/>
          <w:bCs/>
          <w:sz w:val="22"/>
          <w:szCs w:val="22"/>
        </w:rPr>
      </w:pPr>
      <w:r w:rsidRPr="00F73DCE">
        <w:rPr>
          <w:rFonts w:asciiTheme="minorHAnsi" w:hAnsiTheme="minorHAnsi" w:cstheme="minorHAnsi"/>
          <w:sz w:val="22"/>
          <w:szCs w:val="22"/>
        </w:rPr>
        <w:t xml:space="preserve">Teisminio proceso Nr. </w:t>
      </w:r>
      <w:r w:rsidRPr="00F73DCE">
        <w:rPr>
          <w:rFonts w:asciiTheme="minorHAnsi" w:hAnsiTheme="minorHAnsi" w:cstheme="minorHAnsi"/>
          <w:bCs/>
          <w:sz w:val="22"/>
          <w:szCs w:val="22"/>
        </w:rPr>
        <w:t>3-61-3-02399-2022-2</w:t>
      </w:r>
    </w:p>
    <w:p w14:paraId="679F7819" w14:textId="77777777" w:rsidR="00BD06C7" w:rsidRPr="00F73DCE" w:rsidRDefault="00BD06C7" w:rsidP="00BD06C7">
      <w:pPr>
        <w:jc w:val="both"/>
        <w:rPr>
          <w:rFonts w:asciiTheme="minorHAnsi" w:hAnsiTheme="minorHAnsi" w:cstheme="minorHAnsi"/>
          <w:sz w:val="22"/>
          <w:szCs w:val="22"/>
          <w:u w:val="single"/>
        </w:rPr>
      </w:pPr>
      <w:hyperlink r:id="rId23" w:history="1">
        <w:r w:rsidRPr="00F73DCE">
          <w:rPr>
            <w:rStyle w:val="Hyperlink"/>
            <w:rFonts w:asciiTheme="minorHAnsi" w:hAnsiTheme="minorHAnsi" w:cstheme="minorHAnsi"/>
            <w:sz w:val="22"/>
            <w:szCs w:val="22"/>
          </w:rPr>
          <w:t>Prieiga internete</w:t>
        </w:r>
      </w:hyperlink>
    </w:p>
    <w:p w14:paraId="6BCF4839" w14:textId="77777777" w:rsidR="00BD06C7" w:rsidRPr="00F73DCE" w:rsidRDefault="00BD06C7" w:rsidP="00BD06C7">
      <w:pPr>
        <w:ind w:firstLine="567"/>
        <w:jc w:val="both"/>
        <w:rPr>
          <w:rFonts w:asciiTheme="minorHAnsi" w:hAnsiTheme="minorHAnsi" w:cstheme="minorHAnsi"/>
          <w:sz w:val="22"/>
          <w:szCs w:val="22"/>
        </w:rPr>
      </w:pPr>
    </w:p>
    <w:p w14:paraId="0A129731" w14:textId="77777777" w:rsidR="00BD06C7" w:rsidRPr="00BD06C7" w:rsidRDefault="00BD06C7" w:rsidP="00BD06C7">
      <w:pPr>
        <w:jc w:val="both"/>
        <w:outlineLvl w:val="1"/>
        <w:rPr>
          <w:rFonts w:asciiTheme="minorHAnsi" w:eastAsia="Calibri" w:hAnsiTheme="minorHAnsi" w:cstheme="minorHAnsi"/>
          <w:i/>
          <w:sz w:val="22"/>
          <w:szCs w:val="22"/>
        </w:rPr>
      </w:pPr>
      <w:bookmarkStart w:id="39" w:name="_Toc187075150"/>
      <w:r w:rsidRPr="00BD06C7">
        <w:rPr>
          <w:rFonts w:asciiTheme="minorHAnsi" w:eastAsia="Calibri" w:hAnsiTheme="minorHAnsi" w:cstheme="minorHAnsi"/>
          <w:i/>
          <w:sz w:val="22"/>
          <w:szCs w:val="22"/>
        </w:rPr>
        <w:t>Dėl išlygos, kai uždaroji akcinė bendrovė gali Juridinių asmenų dalyvių informacinės sistemos tvarkytojui nepateikti akcininko duomenų, taikymo sąlygų</w:t>
      </w:r>
      <w:bookmarkEnd w:id="39"/>
    </w:p>
    <w:p w14:paraId="063ED63F" w14:textId="77777777" w:rsidR="00BD06C7" w:rsidRPr="00F73DCE" w:rsidRDefault="00BD06C7" w:rsidP="00BD06C7">
      <w:pPr>
        <w:ind w:firstLine="567"/>
        <w:jc w:val="both"/>
        <w:rPr>
          <w:rFonts w:asciiTheme="minorHAnsi" w:hAnsiTheme="minorHAnsi" w:cstheme="minorHAnsi"/>
          <w:sz w:val="22"/>
          <w:szCs w:val="22"/>
        </w:rPr>
      </w:pPr>
    </w:p>
    <w:p w14:paraId="33ADDF24" w14:textId="77777777" w:rsidR="00BD06C7" w:rsidRPr="00F73DCE" w:rsidRDefault="00BD06C7" w:rsidP="00BD06C7">
      <w:pPr>
        <w:ind w:firstLine="567"/>
        <w:jc w:val="both"/>
        <w:rPr>
          <w:rFonts w:asciiTheme="minorHAnsi" w:hAnsiTheme="minorHAnsi" w:cstheme="minorHAnsi"/>
          <w:sz w:val="22"/>
          <w:szCs w:val="22"/>
        </w:rPr>
      </w:pPr>
      <w:r w:rsidRPr="00F73DCE">
        <w:rPr>
          <w:rFonts w:asciiTheme="minorHAnsi" w:hAnsiTheme="minorHAnsi" w:cstheme="minorHAnsi"/>
          <w:sz w:val="22"/>
          <w:szCs w:val="22"/>
        </w:rPr>
        <w:t>Šioje byloje nagrinėtu atveju ginčas kilo dėl VĮ Registrų centro sprendimo, kuriuo atsisakyta registruoti duomenis Juridinių asmenų dalyvių informacinėje sistemoje (toliau – JADIS) apie uždarosios akcinės bendrovės akcininką – užsienio valstybės fizinį asmenį, pareiškėjui nepateikus šio akcininko asmens dokumento kopijos, teisėtumo ir pagrįstumo. Pareiškėjas VĮ Registrų centrui pateikė paaiškinimą, kad kontaktas su minėtu akcininku yra visiškai nutrūkęs, jis neturi šio akcininko asmens dokumento kopijos.</w:t>
      </w:r>
    </w:p>
    <w:p w14:paraId="30564105" w14:textId="77777777" w:rsidR="00BD06C7" w:rsidRPr="00F73DCE" w:rsidRDefault="00BD06C7" w:rsidP="00BD06C7">
      <w:pPr>
        <w:ind w:firstLine="567"/>
        <w:jc w:val="both"/>
        <w:rPr>
          <w:rFonts w:asciiTheme="minorHAnsi" w:hAnsiTheme="minorHAnsi" w:cstheme="minorHAnsi"/>
          <w:sz w:val="22"/>
          <w:szCs w:val="22"/>
        </w:rPr>
      </w:pPr>
      <w:r w:rsidRPr="00F73DCE">
        <w:rPr>
          <w:rFonts w:asciiTheme="minorHAnsi" w:hAnsiTheme="minorHAnsi" w:cstheme="minorHAnsi"/>
          <w:sz w:val="22"/>
          <w:szCs w:val="22"/>
        </w:rPr>
        <w:t>Pirmosios instancijos teismas pareiškėjo skundą atmetė.</w:t>
      </w:r>
    </w:p>
    <w:p w14:paraId="78092797" w14:textId="77777777" w:rsidR="00BD06C7" w:rsidRPr="00F73DCE" w:rsidRDefault="00BD06C7" w:rsidP="00BD06C7">
      <w:pPr>
        <w:ind w:firstLine="567"/>
        <w:jc w:val="both"/>
        <w:rPr>
          <w:rFonts w:asciiTheme="minorHAnsi" w:hAnsiTheme="minorHAnsi" w:cstheme="minorHAnsi"/>
          <w:sz w:val="22"/>
          <w:szCs w:val="22"/>
        </w:rPr>
      </w:pPr>
      <w:r w:rsidRPr="00F73DCE">
        <w:rPr>
          <w:rFonts w:asciiTheme="minorHAnsi" w:hAnsiTheme="minorHAnsi" w:cstheme="minorHAnsi"/>
          <w:sz w:val="22"/>
          <w:szCs w:val="22"/>
        </w:rPr>
        <w:lastRenderedPageBreak/>
        <w:t>LVAT pažymėjo, kad JADIS tvarkytojas teisingai sprendė, jog pareiškėjas, norėdamas pateikti duomenis JADIS apie akcininką (užsienio valstybės fizinį asmenį), turėjo pateikti jo asmens dokumento kopiją, kaip to reikalauja JADIS nuostatų</w:t>
      </w:r>
      <w:r w:rsidRPr="00F73DCE">
        <w:rPr>
          <w:rStyle w:val="FootnoteReference"/>
          <w:rFonts w:asciiTheme="minorHAnsi" w:hAnsiTheme="minorHAnsi" w:cstheme="minorHAnsi"/>
          <w:sz w:val="22"/>
          <w:szCs w:val="22"/>
        </w:rPr>
        <w:footnoteReference w:id="9"/>
      </w:r>
      <w:r w:rsidRPr="00F73DCE">
        <w:rPr>
          <w:rFonts w:asciiTheme="minorHAnsi" w:hAnsiTheme="minorHAnsi" w:cstheme="minorHAnsi"/>
          <w:sz w:val="22"/>
          <w:szCs w:val="22"/>
        </w:rPr>
        <w:t xml:space="preserve"> 52 punktas. JADIS nuostatų 4 punkte (2016 m. balandžio 12 d. įsakymo Nr. 1R-125 redakcija) nustatyta, kad uždaroji akcinė bendrovė, kuri neturi duomenų apie uždarosios akcinės bendrovės akcininką – fizinį asmenį (vardas, pavardė, asmens kodas ir gyvenamoji vieta arba korespondencijos adresas) ir šie duomenys nebuvo nustatyti po to, kai uždaroji akcinė bendrovė, siekdama nustatyti akcininko duomenis, kreipėsi į Lietuvos Respublikos gyventojų registro tvarkytoją ar duomenų subjektą, gali JADIS tvarkytojui nepateikti šio uždarosios akcinės bendrovės akcininko duomenų, jeigu: 4.1. uždaroji akcinė bendrovė įsteigta iki Juridinių asmenų registro veiklos pradžios arba uždaroji akcinė bendrovė sukurta reorganizuojant iki Juridinių asmenų registro veiklos pradžios įsteigtus juridinius asmenis; 4.2. bendra JADIS tvarkytojui nepateikiamų uždarosios akcinės bendrovės išleistų akcijų, nuosavybės teise priklausančių šio įsakymo 4 punkto pirmojoje pastraipoje nurodytiems akcininkams, procentinė dalis sudaro ne daugiau kaip 10 procentų visų uždarosios akcinės bendrovės išleistų akcijų.</w:t>
      </w:r>
    </w:p>
    <w:p w14:paraId="1240D6B3" w14:textId="77777777" w:rsidR="00BD06C7" w:rsidRPr="00F73DCE" w:rsidRDefault="00BD06C7" w:rsidP="00BD06C7">
      <w:pPr>
        <w:ind w:firstLine="567"/>
        <w:jc w:val="both"/>
        <w:rPr>
          <w:rFonts w:asciiTheme="minorHAnsi" w:hAnsiTheme="minorHAnsi" w:cstheme="minorHAnsi"/>
          <w:sz w:val="22"/>
          <w:szCs w:val="22"/>
        </w:rPr>
      </w:pPr>
      <w:r w:rsidRPr="00F73DCE">
        <w:rPr>
          <w:rFonts w:asciiTheme="minorHAnsi" w:hAnsiTheme="minorHAnsi" w:cstheme="minorHAnsi"/>
          <w:sz w:val="22"/>
          <w:szCs w:val="22"/>
        </w:rPr>
        <w:t xml:space="preserve">LVAT vertinimu, pirmosios instancijos teismas pagrįstai sprendė, kad pareiškėjo atvejis neatitiko nurodytos išlygos, kai </w:t>
      </w:r>
      <w:r w:rsidRPr="00F73DCE">
        <w:rPr>
          <w:rFonts w:asciiTheme="minorHAnsi" w:hAnsiTheme="minorHAnsi" w:cstheme="minorHAnsi"/>
          <w:sz w:val="22"/>
          <w:szCs w:val="22"/>
          <w:u w:val="single"/>
        </w:rPr>
        <w:t>uždaroji akcinė bendrovė gali JADIS tvarkytojui nepateikti uždarosios akcinės bendrovės akcininko duomenų, jeigu atitinka JADIS nuostatų 4 punkte (2016 m. balandžio 12 d. įsakymo Nr. 1R-125 redakcija) nustatytas sąlygas, kurios nėra alternatyvios</w:t>
      </w:r>
      <w:r w:rsidRPr="00F73DCE">
        <w:rPr>
          <w:rFonts w:asciiTheme="minorHAnsi" w:hAnsiTheme="minorHAnsi" w:cstheme="minorHAnsi"/>
          <w:sz w:val="22"/>
          <w:szCs w:val="22"/>
        </w:rPr>
        <w:t>. LVAT nesutiko su pareiškėjo aiškinimu, kad minėtame JADIS nuostatų punkte nustatytos sąlygos yra alternatyvios, kadangi tokios išvados nepatvirtina nei lingvistinis, nei loginis šios normos aiškinimas, o pareiškėjas neatitiko vienos iš sąlygų – nėra įsteigtas iki Juridinių asmenų registro veiklos pradžios.</w:t>
      </w:r>
    </w:p>
    <w:p w14:paraId="5C795AD5" w14:textId="77777777" w:rsidR="00BD06C7" w:rsidRPr="00F73DCE" w:rsidRDefault="00BD06C7" w:rsidP="00BD06C7">
      <w:pPr>
        <w:ind w:firstLine="567"/>
        <w:jc w:val="both"/>
        <w:rPr>
          <w:rFonts w:asciiTheme="minorHAnsi" w:hAnsiTheme="minorHAnsi" w:cstheme="minorHAnsi"/>
          <w:sz w:val="22"/>
          <w:szCs w:val="22"/>
        </w:rPr>
      </w:pPr>
      <w:r w:rsidRPr="00F73DCE">
        <w:rPr>
          <w:rFonts w:asciiTheme="minorHAnsi" w:hAnsiTheme="minorHAnsi" w:cstheme="minorHAnsi"/>
          <w:sz w:val="22"/>
          <w:szCs w:val="22"/>
        </w:rPr>
        <w:t>Teisėjų kolegija taip pat pažymėjo, kad Juridinių asmenų registras ir JADIS tarpusavyje keičiasi bendrovių duomenimis, t. y. atsakovas VĮ Registrų centras įgyvendina Juridinių asmenų registro sąveiką su kitais registrais, JADIS ir kitomis valstybės informacinėmis sistemomis bei klasifikatoriais, perduodamas jiems ir priimdamas iš jų duomenis. Tačiau tai nesudaro pagrindo spręsti, kad VĮ Registrų centrui, kaip Juridinių asmenų registro tvarkytojui ar kaip JADIS tvarkytojui, suteikta kokia nors teisė pačiam įrašyti, koreguoti, taisyti duomenis JADIS (žr., pvz., LAT 2024 m. vasario 27 d. nutarties civilinėje byloje Nr. e3K-3-20-381/2024 54 p.). Taigi, LVAT sprendė, kad JADIS tvarkytojas pagrįstai reikalavo iš pareiškėjo pateikti visus teisės aktuose nurodytus dokumentus, kad apie pareiškėją, kaip apie juridinį asmenį, būtų nurodyti visi įstatymų reikalaujami duomenys, ir šis pareiškėjui taikomas reikalavimas yra proporcingas, adekvatus bei būtinas teisės aktuose įtvirtintiems tikslams pasiekti.</w:t>
      </w:r>
    </w:p>
    <w:p w14:paraId="369E73FF" w14:textId="77777777" w:rsidR="00BD06C7" w:rsidRPr="00F73DCE" w:rsidRDefault="00BD06C7" w:rsidP="00BD06C7">
      <w:pPr>
        <w:ind w:firstLine="567"/>
        <w:jc w:val="both"/>
        <w:rPr>
          <w:rFonts w:asciiTheme="minorHAnsi" w:hAnsiTheme="minorHAnsi" w:cstheme="minorHAnsi"/>
          <w:sz w:val="22"/>
          <w:szCs w:val="22"/>
        </w:rPr>
      </w:pPr>
      <w:r w:rsidRPr="00F73DCE">
        <w:rPr>
          <w:rFonts w:asciiTheme="minorHAnsi" w:hAnsiTheme="minorHAnsi" w:cstheme="minorHAnsi"/>
          <w:sz w:val="22"/>
          <w:szCs w:val="22"/>
        </w:rPr>
        <w:t>LVAT atmetė pareiškėjo apeliacinį skundą, o pirmosios instancijos teismo sprendimą paliko nepakeistą.</w:t>
      </w:r>
    </w:p>
    <w:p w14:paraId="77D4D693" w14:textId="77777777" w:rsidR="00BD06C7" w:rsidRPr="00F73DCE" w:rsidRDefault="00BD06C7" w:rsidP="00BD06C7">
      <w:pPr>
        <w:ind w:firstLine="567"/>
        <w:jc w:val="both"/>
        <w:rPr>
          <w:rFonts w:asciiTheme="minorHAnsi" w:hAnsiTheme="minorHAnsi" w:cstheme="minorHAnsi"/>
          <w:sz w:val="22"/>
          <w:szCs w:val="22"/>
        </w:rPr>
      </w:pPr>
    </w:p>
    <w:p w14:paraId="3B38B68B" w14:textId="77777777" w:rsidR="00BD06C7" w:rsidRPr="00F73DCE" w:rsidRDefault="00BD06C7" w:rsidP="00BD06C7">
      <w:pPr>
        <w:jc w:val="both"/>
        <w:rPr>
          <w:rFonts w:asciiTheme="minorHAnsi" w:hAnsiTheme="minorHAnsi" w:cstheme="minorHAnsi"/>
          <w:sz w:val="22"/>
          <w:szCs w:val="22"/>
        </w:rPr>
      </w:pPr>
      <w:r w:rsidRPr="00F73DCE">
        <w:rPr>
          <w:rFonts w:asciiTheme="minorHAnsi" w:hAnsiTheme="minorHAnsi" w:cstheme="minorHAnsi"/>
          <w:bCs/>
          <w:sz w:val="22"/>
          <w:szCs w:val="22"/>
        </w:rPr>
        <w:t xml:space="preserve">2024 m. lapkričio 13 </w:t>
      </w:r>
      <w:r w:rsidRPr="00F73DCE">
        <w:rPr>
          <w:rFonts w:asciiTheme="minorHAnsi" w:hAnsiTheme="minorHAnsi" w:cstheme="minorHAnsi"/>
          <w:sz w:val="22"/>
          <w:szCs w:val="22"/>
        </w:rPr>
        <w:t xml:space="preserve">d. nutartis administracinėje byloje Nr. </w:t>
      </w:r>
      <w:r w:rsidRPr="00F73DCE">
        <w:rPr>
          <w:rFonts w:asciiTheme="minorHAnsi" w:hAnsiTheme="minorHAnsi" w:cstheme="minorHAnsi"/>
          <w:bCs/>
          <w:sz w:val="22"/>
          <w:szCs w:val="22"/>
        </w:rPr>
        <w:t>eA-533-602/2024</w:t>
      </w:r>
    </w:p>
    <w:p w14:paraId="09BFD721" w14:textId="77777777" w:rsidR="00BD06C7" w:rsidRPr="00F73DCE" w:rsidRDefault="00BD06C7" w:rsidP="00BD06C7">
      <w:pPr>
        <w:jc w:val="both"/>
        <w:rPr>
          <w:rFonts w:asciiTheme="minorHAnsi" w:hAnsiTheme="minorHAnsi" w:cstheme="minorHAnsi"/>
          <w:bCs/>
          <w:sz w:val="22"/>
          <w:szCs w:val="22"/>
        </w:rPr>
      </w:pPr>
      <w:r w:rsidRPr="00F73DCE">
        <w:rPr>
          <w:rFonts w:asciiTheme="minorHAnsi" w:hAnsiTheme="minorHAnsi" w:cstheme="minorHAnsi"/>
          <w:sz w:val="22"/>
          <w:szCs w:val="22"/>
        </w:rPr>
        <w:t xml:space="preserve">Teisminio proceso Nr. </w:t>
      </w:r>
      <w:r w:rsidRPr="00F73DCE">
        <w:rPr>
          <w:rFonts w:asciiTheme="minorHAnsi" w:hAnsiTheme="minorHAnsi" w:cstheme="minorHAnsi"/>
          <w:bCs/>
          <w:sz w:val="22"/>
          <w:szCs w:val="22"/>
        </w:rPr>
        <w:t>3-62-3-02753-2022-7</w:t>
      </w:r>
    </w:p>
    <w:p w14:paraId="1FACBE4B" w14:textId="77777777" w:rsidR="00BD06C7" w:rsidRPr="00F73DCE" w:rsidRDefault="00BD06C7" w:rsidP="00BD06C7">
      <w:pPr>
        <w:jc w:val="both"/>
        <w:rPr>
          <w:rFonts w:asciiTheme="minorHAnsi" w:hAnsiTheme="minorHAnsi" w:cstheme="minorHAnsi"/>
          <w:sz w:val="22"/>
          <w:szCs w:val="22"/>
          <w:u w:val="single"/>
        </w:rPr>
      </w:pPr>
      <w:hyperlink r:id="rId24" w:history="1">
        <w:r w:rsidRPr="00F73DCE">
          <w:rPr>
            <w:rStyle w:val="Hyperlink"/>
            <w:rFonts w:asciiTheme="minorHAnsi" w:hAnsiTheme="minorHAnsi" w:cstheme="minorHAnsi"/>
            <w:sz w:val="22"/>
            <w:szCs w:val="22"/>
          </w:rPr>
          <w:t>Prieiga internete</w:t>
        </w:r>
      </w:hyperlink>
    </w:p>
    <w:p w14:paraId="410D0AA7" w14:textId="77777777" w:rsidR="00BD06C7" w:rsidRPr="00F73DCE" w:rsidRDefault="00BD06C7" w:rsidP="00BD06C7">
      <w:pPr>
        <w:ind w:firstLine="567"/>
        <w:jc w:val="both"/>
        <w:rPr>
          <w:rFonts w:asciiTheme="minorHAnsi" w:hAnsiTheme="minorHAnsi" w:cstheme="minorHAnsi"/>
          <w:sz w:val="22"/>
          <w:szCs w:val="22"/>
        </w:rPr>
      </w:pPr>
    </w:p>
    <w:p w14:paraId="2C5E867B" w14:textId="77777777" w:rsidR="00BD06C7" w:rsidRPr="00BD06C7" w:rsidRDefault="00BD06C7" w:rsidP="00BD06C7">
      <w:pPr>
        <w:pStyle w:val="Apzvalgai1"/>
        <w:rPr>
          <w:rFonts w:asciiTheme="minorHAnsi" w:hAnsiTheme="minorHAnsi" w:cstheme="minorHAnsi"/>
        </w:rPr>
      </w:pPr>
      <w:bookmarkStart w:id="40" w:name="_Toc187075151"/>
      <w:r w:rsidRPr="00BD06C7">
        <w:rPr>
          <w:rFonts w:asciiTheme="minorHAnsi" w:hAnsiTheme="minorHAnsi" w:cstheme="minorHAnsi"/>
        </w:rPr>
        <w:t>20. Civilinė atsakomybė už žalą, atsiradusią dėl valdžios institucijų neteisėtų veiksmų</w:t>
      </w:r>
      <w:bookmarkEnd w:id="40"/>
    </w:p>
    <w:p w14:paraId="4159E00B" w14:textId="77777777" w:rsidR="00BD06C7" w:rsidRPr="00F73DCE" w:rsidRDefault="00BD06C7" w:rsidP="00BD06C7">
      <w:pPr>
        <w:ind w:firstLine="567"/>
        <w:rPr>
          <w:rFonts w:ascii="Calibri" w:hAnsi="Calibri"/>
          <w:b/>
          <w:sz w:val="22"/>
          <w:szCs w:val="22"/>
          <w:u w:val="single"/>
        </w:rPr>
      </w:pPr>
      <w:r w:rsidRPr="00F73DCE">
        <w:rPr>
          <w:rFonts w:ascii="Calibri" w:hAnsi="Calibri"/>
          <w:b/>
          <w:sz w:val="22"/>
          <w:szCs w:val="22"/>
          <w:u w:val="single"/>
        </w:rPr>
        <w:t>20.2. Civilinės atsakomybės sąlygos</w:t>
      </w:r>
    </w:p>
    <w:p w14:paraId="2FF4EB27" w14:textId="77777777" w:rsidR="00BD06C7" w:rsidRPr="00F73DCE" w:rsidRDefault="00BD06C7" w:rsidP="00BD06C7">
      <w:pPr>
        <w:ind w:firstLine="1134"/>
        <w:rPr>
          <w:rFonts w:ascii="Calibri" w:hAnsi="Calibri"/>
          <w:b/>
          <w:sz w:val="22"/>
          <w:szCs w:val="22"/>
          <w:u w:val="single"/>
        </w:rPr>
      </w:pPr>
      <w:r w:rsidRPr="00F73DCE">
        <w:rPr>
          <w:rFonts w:ascii="Calibri" w:hAnsi="Calibri"/>
          <w:b/>
          <w:sz w:val="22"/>
          <w:szCs w:val="22"/>
          <w:u w:val="single"/>
        </w:rPr>
        <w:t>20.2.3. Žala</w:t>
      </w:r>
    </w:p>
    <w:p w14:paraId="61EDF2E2" w14:textId="77777777" w:rsidR="00BD06C7" w:rsidRPr="00F73DCE" w:rsidRDefault="00BD06C7" w:rsidP="00BD06C7">
      <w:pPr>
        <w:ind w:firstLine="1701"/>
        <w:rPr>
          <w:rFonts w:ascii="Calibri" w:hAnsi="Calibri"/>
          <w:b/>
          <w:bCs/>
          <w:sz w:val="22"/>
          <w:szCs w:val="22"/>
          <w:u w:val="single"/>
        </w:rPr>
      </w:pPr>
      <w:r w:rsidRPr="00F73DCE">
        <w:rPr>
          <w:rFonts w:ascii="Calibri" w:hAnsi="Calibri"/>
          <w:b/>
          <w:sz w:val="22"/>
          <w:szCs w:val="22"/>
          <w:u w:val="single"/>
        </w:rPr>
        <w:t>20.2.3.1. Turtinė žala</w:t>
      </w:r>
    </w:p>
    <w:p w14:paraId="008BBF64" w14:textId="77777777" w:rsidR="00BD06C7" w:rsidRPr="00F73DCE" w:rsidRDefault="00BD06C7" w:rsidP="00BD06C7">
      <w:pPr>
        <w:ind w:firstLine="567"/>
        <w:jc w:val="both"/>
        <w:rPr>
          <w:rFonts w:asciiTheme="minorHAnsi" w:hAnsiTheme="minorHAnsi" w:cstheme="minorHAnsi"/>
          <w:sz w:val="22"/>
          <w:szCs w:val="22"/>
          <w:highlight w:val="yellow"/>
        </w:rPr>
      </w:pPr>
    </w:p>
    <w:p w14:paraId="0C3A1967" w14:textId="77777777" w:rsidR="00BD06C7" w:rsidRPr="00BD06C7" w:rsidRDefault="00BD06C7" w:rsidP="00BD06C7">
      <w:pPr>
        <w:jc w:val="both"/>
        <w:outlineLvl w:val="1"/>
        <w:rPr>
          <w:rFonts w:asciiTheme="minorHAnsi" w:eastAsia="Calibri" w:hAnsiTheme="minorHAnsi" w:cstheme="minorHAnsi"/>
          <w:i/>
          <w:sz w:val="22"/>
          <w:szCs w:val="22"/>
        </w:rPr>
      </w:pPr>
      <w:bookmarkStart w:id="41" w:name="_Toc187075152"/>
      <w:r w:rsidRPr="00BD06C7">
        <w:rPr>
          <w:rFonts w:asciiTheme="minorHAnsi" w:eastAsia="Calibri" w:hAnsiTheme="minorHAnsi" w:cstheme="minorHAnsi"/>
          <w:i/>
          <w:sz w:val="22"/>
          <w:szCs w:val="22"/>
        </w:rPr>
        <w:t>Dėl žalos, kilusios šalinant neteisėtų statybų padarinius Kuršių nerijos nacionaliniame parke, atlyginimo</w:t>
      </w:r>
      <w:bookmarkEnd w:id="41"/>
    </w:p>
    <w:p w14:paraId="2BED2F21" w14:textId="77777777" w:rsidR="00BD06C7" w:rsidRPr="00F73DCE" w:rsidRDefault="00BD06C7" w:rsidP="00BD06C7">
      <w:pPr>
        <w:ind w:firstLine="567"/>
        <w:jc w:val="both"/>
        <w:rPr>
          <w:rFonts w:asciiTheme="minorHAnsi" w:hAnsiTheme="minorHAnsi" w:cstheme="minorHAnsi"/>
          <w:sz w:val="22"/>
          <w:szCs w:val="22"/>
          <w:highlight w:val="yellow"/>
        </w:rPr>
      </w:pPr>
    </w:p>
    <w:p w14:paraId="4535D87F" w14:textId="77777777" w:rsidR="00BD06C7" w:rsidRDefault="00BD06C7" w:rsidP="00BD06C7">
      <w:pPr>
        <w:ind w:firstLine="567"/>
        <w:jc w:val="both"/>
        <w:rPr>
          <w:rFonts w:asciiTheme="minorHAnsi" w:hAnsiTheme="minorHAnsi" w:cstheme="minorHAnsi"/>
          <w:sz w:val="22"/>
          <w:szCs w:val="22"/>
        </w:rPr>
      </w:pPr>
      <w:r w:rsidRPr="00F73DCE">
        <w:rPr>
          <w:rFonts w:asciiTheme="minorHAnsi" w:hAnsiTheme="minorHAnsi" w:cstheme="minorHAnsi"/>
          <w:sz w:val="22"/>
          <w:szCs w:val="22"/>
        </w:rPr>
        <w:t>Apžvelgiamoje byloje nagrinėtas ginčas dėl žalos, kilusios dėl neteisėtų statybų padarinių šalinimo Kuršių nerijos nacionaliniame parke (toliau – Parkas), atlyginimo iš Lietuvos valstybės ir Neringos savivaldybės.</w:t>
      </w:r>
    </w:p>
    <w:p w14:paraId="3DBF579E" w14:textId="77777777" w:rsidR="00BD06C7" w:rsidRPr="00F73DCE" w:rsidRDefault="00BD06C7" w:rsidP="00BD06C7">
      <w:pPr>
        <w:ind w:firstLine="567"/>
        <w:jc w:val="both"/>
        <w:rPr>
          <w:rFonts w:asciiTheme="minorHAnsi" w:hAnsiTheme="minorHAnsi" w:cstheme="minorHAnsi"/>
          <w:sz w:val="22"/>
          <w:szCs w:val="22"/>
        </w:rPr>
      </w:pPr>
      <w:r w:rsidRPr="00F73DCE">
        <w:rPr>
          <w:rFonts w:asciiTheme="minorHAnsi" w:hAnsiTheme="minorHAnsi" w:cstheme="minorHAnsi"/>
          <w:sz w:val="22"/>
          <w:szCs w:val="22"/>
        </w:rPr>
        <w:t>Pirmosios instancijos teismas pareiškėjo skundą tenkino iš dalies ir priteisė jam iš Lietuvos valstybės bei Neringos savivaldybės, proporcingai teismo nustatytam savivaldybės ir valstybės institucijų kaltės laipsniui, iš viso 2 788 617,63 Eur turtinei žalai atlyginti, taip pat procesines palūkanas ir bylinėjimosi išlaidas. Apeliacinius skundus dėl šio teismo sprendimo padavė tiek pareiškėjas, tiek atsakovai.</w:t>
      </w:r>
    </w:p>
    <w:p w14:paraId="70911187" w14:textId="77777777" w:rsidR="00BD06C7" w:rsidRPr="00F73DCE" w:rsidRDefault="00BD06C7" w:rsidP="00BD06C7">
      <w:pPr>
        <w:ind w:firstLine="567"/>
        <w:jc w:val="both"/>
        <w:rPr>
          <w:rFonts w:asciiTheme="minorHAnsi" w:hAnsiTheme="minorHAnsi" w:cstheme="minorHAnsi"/>
          <w:sz w:val="22"/>
          <w:szCs w:val="22"/>
        </w:rPr>
      </w:pPr>
      <w:r w:rsidRPr="00F73DCE">
        <w:rPr>
          <w:rFonts w:asciiTheme="minorHAnsi" w:hAnsiTheme="minorHAnsi" w:cstheme="minorHAnsi"/>
          <w:sz w:val="22"/>
          <w:szCs w:val="22"/>
        </w:rPr>
        <w:t>LVAT išplėstinė teisėjų kolegija</w:t>
      </w:r>
      <w:r w:rsidRPr="00F73DCE">
        <w:rPr>
          <w:rFonts w:asciiTheme="minorHAnsi" w:eastAsiaTheme="minorHAnsi" w:hAnsiTheme="minorHAnsi" w:cstheme="minorBidi"/>
          <w:sz w:val="22"/>
          <w:szCs w:val="22"/>
          <w:lang w:eastAsia="en-US"/>
        </w:rPr>
        <w:t xml:space="preserve"> </w:t>
      </w:r>
      <w:r w:rsidRPr="00F73DCE">
        <w:rPr>
          <w:rFonts w:asciiTheme="minorHAnsi" w:hAnsiTheme="minorHAnsi" w:cstheme="minorHAnsi"/>
          <w:sz w:val="22"/>
          <w:szCs w:val="22"/>
        </w:rPr>
        <w:t xml:space="preserve">pritarė pirmosios instancijos teismui, kad byloje nustatytos aplinkybės dėl ginčui aktualiu laikotarpiu Vyriausybės lygiu sudarytos specialios darbo grupės su teismų sprendimų dėl neteisėtų statybų Parke įgyvendinimu ir žalos atlyginimu susijusioms problemoms spręsti bei atsižvelgiant į </w:t>
      </w:r>
      <w:r>
        <w:rPr>
          <w:rFonts w:asciiTheme="minorHAnsi" w:hAnsiTheme="minorHAnsi" w:cstheme="minorHAnsi"/>
          <w:sz w:val="22"/>
          <w:szCs w:val="22"/>
        </w:rPr>
        <w:t>ši</w:t>
      </w:r>
      <w:r w:rsidRPr="00F73DCE">
        <w:rPr>
          <w:rFonts w:asciiTheme="minorHAnsi" w:hAnsiTheme="minorHAnsi" w:cstheme="minorHAnsi"/>
          <w:sz w:val="22"/>
          <w:szCs w:val="22"/>
        </w:rPr>
        <w:t>os</w:t>
      </w:r>
      <w:r>
        <w:rPr>
          <w:rFonts w:asciiTheme="minorHAnsi" w:hAnsiTheme="minorHAnsi" w:cstheme="minorHAnsi"/>
          <w:sz w:val="22"/>
          <w:szCs w:val="22"/>
        </w:rPr>
        <w:t xml:space="preserve"> </w:t>
      </w:r>
      <w:r>
        <w:rPr>
          <w:rFonts w:asciiTheme="minorHAnsi" w:hAnsiTheme="minorHAnsi" w:cstheme="minorHAnsi"/>
          <w:sz w:val="22"/>
          <w:szCs w:val="22"/>
        </w:rPr>
        <w:lastRenderedPageBreak/>
        <w:t>darbo grupės</w:t>
      </w:r>
      <w:r w:rsidRPr="00F73DCE">
        <w:rPr>
          <w:rFonts w:asciiTheme="minorHAnsi" w:hAnsiTheme="minorHAnsi" w:cstheme="minorHAnsi"/>
          <w:sz w:val="22"/>
          <w:szCs w:val="22"/>
        </w:rPr>
        <w:t xml:space="preserve"> siūlymą inicijuota Parko generalinio plano keitimo procedūra, siekiant sudaryti sąlygas taikos sutarčiai, taip pat tarp pareiškėjo ir valdžios institucijų vykęs susirašinėjimas bei derybos dėl ginčo pastatų pertvarkymo galimybių jų negriaunant, sudarė pagrindą netaikyti senaties termino pareiškėjo reikalavimams dėl turtinės žalos, siejamos su ginčo pastatų (dalies) netekimu, jų griovimo, buvusios padėties atstatymo ir kitomis su tuo susijusiomis išlaidomis. Tačiau nurodytų derybų ir Parko generalinio plano keitimo procedūros metu nebuvo svarstomi klausimai dėl galimos neturtinės žalos pareiškėjo reputacijai ir (ar) jo galbūt negautų pajamų nuomojant pastatus atlyginimo. Atsižvelgęs į tai, LVAT sprendė, kad pareiškėjas praleido senaties terminą reikalavimui dėl negautų pajamų už senesnį nei 3 metų laikotarpį, taip pat reikalavimui dėl neturtinės žalos, ir byloje nenustatytos priežastys, dėl kurių šis terminas galėtų būti atnaujintas. Nors pirmosios instancijos teismas pareiškėjo skundo reikalavimą dėl neturtinės žalos atlyginimo atmetė kitais motyvais – konstatavęs, kad pareiškėjas neįrodė šios žalos, ir išplėstinė teisėjų kolegija, remdamasi byloje surinktų duomenų bei nustatytų aplinkybių visuma, iš esmės pritarė tokiam vertinimui, ieškinio senaties termino pasibaigimas yra savarankiškas ir pakankamas pagrindas atmesti ieškinio reikalavimus, todėl LVAT plačiau nepasisakė dėl apeliacinių skundų argumentų, kiek tai susiję su nurodyta pareiškėjo reikalavimų dalimi.</w:t>
      </w:r>
    </w:p>
    <w:p w14:paraId="085A4CAD" w14:textId="77777777" w:rsidR="00BD06C7" w:rsidRPr="00F73DCE" w:rsidRDefault="00BD06C7" w:rsidP="00BD06C7">
      <w:pPr>
        <w:ind w:firstLine="567"/>
        <w:jc w:val="both"/>
        <w:rPr>
          <w:rFonts w:asciiTheme="minorHAnsi" w:hAnsiTheme="minorHAnsi" w:cstheme="minorHAnsi"/>
          <w:sz w:val="22"/>
          <w:szCs w:val="22"/>
        </w:rPr>
      </w:pPr>
      <w:r w:rsidRPr="00F73DCE">
        <w:rPr>
          <w:rFonts w:asciiTheme="minorHAnsi" w:hAnsiTheme="minorHAnsi" w:cstheme="minorHAnsi"/>
          <w:sz w:val="22"/>
          <w:szCs w:val="22"/>
        </w:rPr>
        <w:t>Pareiškėjas žalą kildino iš valdžios institucijų neteisėtai priimtų administracinių aktų, tvirtinant teritorijų planavimo ir išduodant statybą leidžiantį dokumentus bei pripažįstant pastatus tinkamais naudoti, kurie teismų sprendimais vėliau panaikinti. Šiame kontekste įvertinęs aktualų teisinį reguliavimą ir nustatytas aplinkybes, LVAT sprendė, kad byloje tinkamais atsakovais ir jų atstovais laikytini Neringos savivaldybė, atstovaujama savivaldybės tarybos ir administracijos, ir Lietuvos valstybė, atstovaujama Valstybinės teritorijų planavimo ir statybos inspekcijos (toliau – Inspekcija), kurie už pareiškėjui kilusią žalą atsako solidariai. LVAT vertinimu, nagrinėtu atveju esminiais aktais, sudariusiais prielaidas ginčo statyboms, laikytini Neringos savivaldybės tarybos sprendimas dėl detaliojo plano tvirtinimo ir Neringos savivaldybės administracijos išduotas statybų leidimas, o Klaipėdos apskrities viršininko įsakymais sudarytų komisijų, vadovaujamų Klaipėdos apskrities viršininko administracijos, kurios teisių ir pareigų perėmėjas – Inspekcija, atstovų, priimti pastatų pripažinimo tinkamais naudoti aktai sudarė pagrindą šiuos pastatus, kaip nekilnojamojo turto objektus, ir pareiškėjo nuosavybės teises į juos įregistruoti Nekilnojamojo turto registre. Be to, Klaipėdos apskrities viršininko administracija išdavė teigiamą detaliojo plano patikrinimo išvadą, kuri buvo būtina sąlyga šį planą teikti tvirtinti. Nors detaliojo plano rengimo ir statybų leidimo išdavimo procese bei pripažįstant ginčo pastatus tinkamais naudoti dalyvavo daugiau institucijų, LVAT sprendė, kad jų veiksmai šiuo konkrečiu atveju, atsižvelgiant į visumą nustatytų aplinkybių (be kita ko, jog Parko direkcijos atstovas nedalyvavo prieš išduodant statybų leidimą vykusiame Nuolatinės statybos komisijos posėdyje; iki pripažįstant ginčo pastatus tinkamais naudoti Parko direkcija raštu kreipėsi į Inspekciją bei Klaipėdos apskrities viršininką (administraciją), prašydama stabdyti statybos darbus; Parko direkcijos atstovas nepasirašė ginčo statinių pripažinimo tinkamais naudoti aktų ir tam nepritarė), neturėjo esminės ir lemiamos įtakos pareiškėjo prašomos priteisti žalos atsiradimui.</w:t>
      </w:r>
    </w:p>
    <w:p w14:paraId="0B3C3A3B" w14:textId="77777777" w:rsidR="00BD06C7" w:rsidRPr="00F73DCE" w:rsidRDefault="00BD06C7" w:rsidP="00BD06C7">
      <w:pPr>
        <w:ind w:firstLine="567"/>
        <w:jc w:val="both"/>
        <w:rPr>
          <w:rFonts w:asciiTheme="minorHAnsi" w:hAnsiTheme="minorHAnsi" w:cstheme="minorHAnsi"/>
          <w:sz w:val="22"/>
          <w:szCs w:val="22"/>
        </w:rPr>
      </w:pPr>
      <w:r w:rsidRPr="00F73DCE">
        <w:rPr>
          <w:rFonts w:asciiTheme="minorHAnsi" w:hAnsiTheme="minorHAnsi" w:cstheme="minorHAnsi"/>
          <w:sz w:val="22"/>
          <w:szCs w:val="22"/>
        </w:rPr>
        <w:t xml:space="preserve">LVAT sprendė, kad nagrinėtu atveju pareiškėjui teko patirti ilgalaikį netikrumą dėl ginčo statybų teisėtumo, ir byloje nebuvo duomenų, jog jis savo veiksmais prisidėjo prie viso proceso vilkinimo. LVAT nenustatė aplinkybių, kurios sudarytų pagrindą mažinti atsakovų atsakomybę, ir pažymėjo, kad valdžios institucijos, taisydamos savo klaidas, iš esmės neveikė pakankamai operatyviai, nuosekliai bei su deramu rūpestingumu – teisminiai procesai dėl teritorijų planavimo ir ginčo statybų prasidėjo 2006 metais, tačiau valdžios institucijų sprendimais 2006–2007 metais (jau po teisminių procesų iniciavimo) ginčo pastatai buvo pripažinti tinkamais naudoti, o prokuroro ginant viešąjį interesą pareikšti reikalavimai dėl jų nugriovimo galutinai patenkinti 2016 m. sausio 20 d., t. y. maždaug po 10 metų, be to, po galutinio teismo sprendimo, kuriuo pareiškėjas įpareigotas pašalinti neteisėtos statybos padarinius ir ginčo pastatus (dalį) nugriauti, įsiteisėjimo valdžios institucijos tęsė Parko generalinio plano keitimo procedūras, apimant ginčo žemės sklypo teritoriją, savo susirašinėjimuose su pareiškėju pabrėždamos, kad jo pakeitimas yra būtina prielaida taikos sutarčiai sudaryti, bei vėliau šis planas buvo pakeistas, siekiant sudaryti galimybes galbūt negriauti ginčo pastatų, ir tik Konstituciniam Teismui priėmus 2019 m. lapkričio 25 d. nutarimą dėl pakeisto Parko generalinio plano prieštaravimo Konstitucijai valdžios institucijos galiausiai aiškiai išreiškė savo poziciją, jog taikus susitarimas nėra galimas. Atsižvelgęs į tai ir įvertinęs EŽTT formuojamą praktiką bylose dėl nuosavybės apsaugos, LVAT konstatavo, kad šiuo konkrečiu atveju žalos dėl ginčo pastatų (dalies) netekimo atlyginimas pareiškėjui pagal beveik prieš 20 metų patirtas jų statybos išlaidas ar pastatų vertę tuo metu, kai turėjo būti įvykdytas teismo sprendimas dėl neteisėtų statybų padarinių šalinimo, nebūtų suderinamas su proporcingumo, teisingumo ir sąžiningumo principais, kadangi tokiu atveju pareiškėjui tektų pernelyg didelė asmeninė našta dėl neigiamų pinigų nuvertėjimo ir nekilnojamojo turto (statybos išlaidų) kainų padidėjimo pasekmių taisant valdžios </w:t>
      </w:r>
      <w:r w:rsidRPr="00F73DCE">
        <w:rPr>
          <w:rFonts w:asciiTheme="minorHAnsi" w:hAnsiTheme="minorHAnsi" w:cstheme="minorHAnsi"/>
          <w:sz w:val="22"/>
          <w:szCs w:val="22"/>
        </w:rPr>
        <w:lastRenderedPageBreak/>
        <w:t>institucijų padarytas klaidas, tai neužtikrintų teisingos bendrojo visuomenės intereso ir pagrindinių pareiškėjo teisių apsaugos pusiausvyros.</w:t>
      </w:r>
    </w:p>
    <w:p w14:paraId="20929173" w14:textId="77777777" w:rsidR="00BD06C7" w:rsidRPr="00F73DCE" w:rsidRDefault="00BD06C7" w:rsidP="00BD06C7">
      <w:pPr>
        <w:ind w:firstLine="567"/>
        <w:jc w:val="both"/>
        <w:rPr>
          <w:rFonts w:asciiTheme="minorHAnsi" w:hAnsiTheme="minorHAnsi" w:cstheme="minorHAnsi"/>
          <w:sz w:val="22"/>
          <w:szCs w:val="22"/>
        </w:rPr>
      </w:pPr>
      <w:r w:rsidRPr="00F73DCE">
        <w:rPr>
          <w:rFonts w:asciiTheme="minorHAnsi" w:hAnsiTheme="minorHAnsi" w:cstheme="minorHAnsi"/>
          <w:sz w:val="22"/>
          <w:szCs w:val="22"/>
        </w:rPr>
        <w:t>Pareiškėjas pateikė jo prašomą priteisti žalos dydį dėl ginčo pastatų (dalies) netekimo pagrindžiančius įrodymus (turto vertinimo ataskaitas), ir byloje nebuvo duomenų, kad šių ataskaitų teisingumas teisės aktų nustatyta tvarka nuginčytas, o atsakovų atstovai nepateikė jokio alternatyvaus turto vertinimo ar kitų objektyvių duomenų, jog ši suma reikšmingai skirtųsi nuo pastatų vertės, buvusios pareiškėjo nuosavybės teisių į juos netekimo (jų nugriovimo) metu, t. y. jog ši disproporcija būtų pernelyg didelė, kad teismas galėtų konstatuoti, jog priteisiant pareiškėjui prašomą sumą nebus išlaikyta teisinga pusiausvyra tarp visuomenės interesų ir pareiškėjo pagrindinių teisių. Šiomis aplinkybėmis LVAT sprendė, kad pareiškėjo pateiktomis turto vertinimo ataskaitomis grindžiama žala dėl pastatų (dalies) netekimo yra įrodyta. LVAT taip pat sutiko, kad pareiškėjas įrodė žalą dėl patirtų griovimo išlaidų ir buvusios padėties atstatymo, tačiau sumažino priteistiną žalą dėl išlaidų VĮ Registrų centro paslaugoms, kurios atsirado ne dėl su ginčo pastatais susijusių kadastro duomenų tikslinimo ar registravimo, ir dėl išlaidų betoninių trinkelių kiemo dangos atstatymui, proporcingai iki neteisėtų statybų ginčo sklype įrengtos (pastatytos) ir įregistruotos aikštelės plotą viršijančiai daliai. Turtinę žalą dėl negautų pajamų už 3 metų laikotarpį, pareiškėjui ją grindžiant negalėjimu išnuomoti ginčo pastatus dėl vykusių teisminių procesų, neapibrėžtumo dėl turto ateities ir teismo nutartimi taikytų laikinųjų apsaugos priemonių, LVAT laikė pernelyg nutolusia nuo byloje konstatuotų atsakovų (jų atstovų) neteisėtų veiksmų tvirtinant teritorijų planavimo ir išduodant statybą leidžiantį dokumentus bei pripažįstant pastatus tinkamais naudoti, todėl sprendė, kad nėra pagrindo šią žalą priteisti pareiškėjui iš atsakovų.</w:t>
      </w:r>
    </w:p>
    <w:p w14:paraId="31E29C1B" w14:textId="77777777" w:rsidR="00BD06C7" w:rsidRPr="00F73DCE" w:rsidRDefault="00BD06C7" w:rsidP="00BD06C7">
      <w:pPr>
        <w:ind w:firstLine="567"/>
        <w:jc w:val="both"/>
        <w:rPr>
          <w:rFonts w:asciiTheme="minorHAnsi" w:hAnsiTheme="minorHAnsi" w:cstheme="minorHAnsi"/>
          <w:sz w:val="22"/>
          <w:szCs w:val="22"/>
        </w:rPr>
      </w:pPr>
      <w:r w:rsidRPr="00F73DCE">
        <w:rPr>
          <w:rFonts w:asciiTheme="minorHAnsi" w:hAnsiTheme="minorHAnsi" w:cstheme="minorHAnsi"/>
          <w:sz w:val="22"/>
          <w:szCs w:val="22"/>
        </w:rPr>
        <w:t>Taigi, LVAT pakeitė pirmosios instancijos teismo sprendimą ir sumažino pareiškėjui iš atsakovų priteistą žalos atlyginimo sumą iki 1 709 318,39 Eur.</w:t>
      </w:r>
    </w:p>
    <w:p w14:paraId="5D8B7B8B" w14:textId="77777777" w:rsidR="00BD06C7" w:rsidRPr="00F73DCE" w:rsidRDefault="00BD06C7" w:rsidP="00BD06C7">
      <w:pPr>
        <w:ind w:firstLine="567"/>
        <w:jc w:val="both"/>
        <w:rPr>
          <w:rFonts w:asciiTheme="minorHAnsi" w:hAnsiTheme="minorHAnsi" w:cstheme="minorHAnsi"/>
          <w:sz w:val="22"/>
          <w:szCs w:val="22"/>
          <w:highlight w:val="yellow"/>
        </w:rPr>
      </w:pPr>
    </w:p>
    <w:p w14:paraId="4B0F6521" w14:textId="77777777" w:rsidR="00BD06C7" w:rsidRPr="00F73DCE" w:rsidRDefault="00BD06C7" w:rsidP="00BD06C7">
      <w:pPr>
        <w:jc w:val="both"/>
        <w:rPr>
          <w:rFonts w:asciiTheme="minorHAnsi" w:hAnsiTheme="minorHAnsi" w:cstheme="minorHAnsi"/>
          <w:sz w:val="22"/>
          <w:szCs w:val="22"/>
        </w:rPr>
      </w:pPr>
      <w:r w:rsidRPr="00F73DCE">
        <w:rPr>
          <w:rFonts w:asciiTheme="minorHAnsi" w:hAnsiTheme="minorHAnsi" w:cstheme="minorHAnsi"/>
          <w:bCs/>
          <w:sz w:val="22"/>
          <w:szCs w:val="22"/>
        </w:rPr>
        <w:t xml:space="preserve">Išplėstinės teisėjų kolegijos 2024 m. lapkričio 27 </w:t>
      </w:r>
      <w:r w:rsidRPr="00F73DCE">
        <w:rPr>
          <w:rFonts w:asciiTheme="minorHAnsi" w:hAnsiTheme="minorHAnsi" w:cstheme="minorHAnsi"/>
          <w:sz w:val="22"/>
          <w:szCs w:val="22"/>
        </w:rPr>
        <w:t xml:space="preserve">d. nutartis administracinėje byloje Nr. </w:t>
      </w:r>
      <w:r w:rsidRPr="00F73DCE">
        <w:rPr>
          <w:rFonts w:asciiTheme="minorHAnsi" w:hAnsiTheme="minorHAnsi" w:cstheme="minorHAnsi"/>
          <w:bCs/>
          <w:sz w:val="22"/>
          <w:szCs w:val="22"/>
        </w:rPr>
        <w:t>eA-514-662/2024</w:t>
      </w:r>
    </w:p>
    <w:p w14:paraId="28A77077" w14:textId="77777777" w:rsidR="00BD06C7" w:rsidRPr="00F73DCE" w:rsidRDefault="00BD06C7" w:rsidP="00BD06C7">
      <w:pPr>
        <w:rPr>
          <w:rFonts w:asciiTheme="minorHAnsi" w:hAnsiTheme="minorHAnsi" w:cstheme="minorHAnsi"/>
          <w:bCs/>
          <w:sz w:val="22"/>
          <w:szCs w:val="22"/>
          <w:lang w:eastAsia="en-US"/>
        </w:rPr>
      </w:pPr>
      <w:r w:rsidRPr="00F73DCE">
        <w:rPr>
          <w:rFonts w:asciiTheme="minorHAnsi" w:hAnsiTheme="minorHAnsi" w:cstheme="minorHAnsi"/>
          <w:sz w:val="22"/>
          <w:szCs w:val="22"/>
        </w:rPr>
        <w:t xml:space="preserve">Teisminio proceso Nr. </w:t>
      </w:r>
      <w:r w:rsidRPr="00F73DCE">
        <w:rPr>
          <w:rFonts w:asciiTheme="minorHAnsi" w:hAnsiTheme="minorHAnsi" w:cstheme="minorHAnsi"/>
          <w:bCs/>
          <w:sz w:val="22"/>
          <w:szCs w:val="22"/>
          <w:lang w:eastAsia="en-US"/>
        </w:rPr>
        <w:t>3-61-3-05109-2021-3</w:t>
      </w:r>
    </w:p>
    <w:p w14:paraId="3A925807" w14:textId="77777777" w:rsidR="00BD06C7" w:rsidRPr="00F73DCE" w:rsidRDefault="00BD06C7" w:rsidP="00BD06C7">
      <w:pPr>
        <w:rPr>
          <w:rFonts w:asciiTheme="minorHAnsi" w:hAnsiTheme="minorHAnsi" w:cstheme="minorHAnsi"/>
          <w:color w:val="0000FF"/>
          <w:sz w:val="22"/>
          <w:szCs w:val="22"/>
          <w:u w:val="single"/>
        </w:rPr>
      </w:pPr>
      <w:hyperlink r:id="rId25" w:history="1">
        <w:r w:rsidRPr="00F73DCE">
          <w:rPr>
            <w:rStyle w:val="Hyperlink"/>
            <w:rFonts w:asciiTheme="minorHAnsi" w:hAnsiTheme="minorHAnsi" w:cstheme="minorHAnsi"/>
            <w:sz w:val="22"/>
            <w:szCs w:val="22"/>
          </w:rPr>
          <w:t>Prieiga internete</w:t>
        </w:r>
      </w:hyperlink>
    </w:p>
    <w:p w14:paraId="0BF327B1" w14:textId="77777777" w:rsidR="00C2617F" w:rsidRPr="003756A5" w:rsidRDefault="00C2617F" w:rsidP="00A32A5C">
      <w:pPr>
        <w:ind w:firstLine="567"/>
        <w:rPr>
          <w:rFonts w:asciiTheme="minorHAnsi" w:hAnsiTheme="minorHAnsi" w:cstheme="minorHAnsi"/>
          <w:sz w:val="22"/>
          <w:szCs w:val="22"/>
        </w:rPr>
      </w:pPr>
    </w:p>
    <w:p w14:paraId="5D5AA9E7" w14:textId="77777777" w:rsidR="00B1604A" w:rsidRPr="00B1604A" w:rsidRDefault="00B1604A" w:rsidP="00B1604A">
      <w:pPr>
        <w:pStyle w:val="Heading1"/>
        <w:rPr>
          <w:rFonts w:asciiTheme="minorHAnsi" w:hAnsiTheme="minorHAnsi" w:cstheme="minorHAnsi"/>
        </w:rPr>
      </w:pPr>
      <w:bookmarkStart w:id="42" w:name="_Toc462149997"/>
      <w:bookmarkStart w:id="43" w:name="_Toc187075153"/>
      <w:r w:rsidRPr="00B1604A">
        <w:rPr>
          <w:rFonts w:asciiTheme="minorHAnsi" w:hAnsiTheme="minorHAnsi" w:cstheme="minorHAnsi"/>
        </w:rPr>
        <w:t>33. Finansų rinkų priežiūra</w:t>
      </w:r>
      <w:bookmarkEnd w:id="42"/>
      <w:bookmarkEnd w:id="43"/>
    </w:p>
    <w:p w14:paraId="7A34E8E4" w14:textId="77777777" w:rsidR="00B1604A" w:rsidRPr="00B1604A" w:rsidRDefault="00B1604A" w:rsidP="00B1604A">
      <w:pPr>
        <w:tabs>
          <w:tab w:val="left" w:pos="8931"/>
          <w:tab w:val="left" w:pos="9356"/>
        </w:tabs>
        <w:ind w:firstLine="567"/>
        <w:jc w:val="both"/>
        <w:rPr>
          <w:rFonts w:asciiTheme="minorHAnsi" w:hAnsiTheme="minorHAnsi" w:cstheme="minorHAnsi"/>
          <w:sz w:val="22"/>
          <w:szCs w:val="22"/>
        </w:rPr>
      </w:pPr>
    </w:p>
    <w:p w14:paraId="21FC8B88" w14:textId="77777777" w:rsidR="00CF7368" w:rsidRPr="00CF7368" w:rsidRDefault="00CF7368" w:rsidP="00CF7368">
      <w:pPr>
        <w:jc w:val="both"/>
        <w:outlineLvl w:val="1"/>
        <w:rPr>
          <w:rFonts w:asciiTheme="minorHAnsi" w:eastAsia="Calibri" w:hAnsiTheme="minorHAnsi" w:cstheme="minorHAnsi"/>
          <w:i/>
          <w:sz w:val="22"/>
          <w:szCs w:val="22"/>
        </w:rPr>
      </w:pPr>
      <w:bookmarkStart w:id="44" w:name="_Toc187075154"/>
      <w:r w:rsidRPr="00CF7368">
        <w:rPr>
          <w:rFonts w:asciiTheme="minorHAnsi" w:eastAsia="Calibri" w:hAnsiTheme="minorHAnsi" w:cstheme="minorHAnsi"/>
          <w:i/>
          <w:sz w:val="22"/>
          <w:szCs w:val="22"/>
        </w:rPr>
        <w:t>Dėl elektroninių pinigų įstaigos licencijos panaikinimo už finansų rinkos dalyviams taikomų teisės aktų pažeidimus</w:t>
      </w:r>
      <w:bookmarkEnd w:id="44"/>
    </w:p>
    <w:p w14:paraId="70819321" w14:textId="77777777" w:rsidR="00CF7368" w:rsidRPr="00CF7368" w:rsidRDefault="00CF7368" w:rsidP="00CF7368">
      <w:pPr>
        <w:ind w:firstLine="567"/>
        <w:jc w:val="both"/>
        <w:rPr>
          <w:rFonts w:asciiTheme="minorHAnsi" w:hAnsiTheme="minorHAnsi" w:cstheme="minorHAnsi"/>
          <w:bCs/>
          <w:sz w:val="22"/>
          <w:szCs w:val="22"/>
        </w:rPr>
      </w:pPr>
    </w:p>
    <w:p w14:paraId="35F65811" w14:textId="77777777" w:rsidR="00CF7368" w:rsidRPr="00CF7368" w:rsidRDefault="00CF7368" w:rsidP="00CF7368">
      <w:pPr>
        <w:ind w:firstLine="567"/>
        <w:jc w:val="both"/>
        <w:rPr>
          <w:rFonts w:asciiTheme="minorHAnsi" w:hAnsiTheme="minorHAnsi" w:cstheme="minorHAnsi"/>
          <w:sz w:val="22"/>
          <w:szCs w:val="22"/>
          <w:lang w:bidi="lt-LT"/>
        </w:rPr>
      </w:pPr>
      <w:r w:rsidRPr="00CF7368">
        <w:rPr>
          <w:rFonts w:asciiTheme="minorHAnsi" w:hAnsiTheme="minorHAnsi" w:cstheme="minorHAnsi"/>
          <w:sz w:val="22"/>
          <w:szCs w:val="22"/>
        </w:rPr>
        <w:t xml:space="preserve">Apžvelgiamoje byloje ginčas kilo dėl </w:t>
      </w:r>
      <w:r w:rsidRPr="00CF7368">
        <w:rPr>
          <w:rFonts w:asciiTheme="minorHAnsi" w:hAnsiTheme="minorHAnsi" w:cstheme="minorHAnsi"/>
          <w:sz w:val="22"/>
          <w:szCs w:val="22"/>
          <w:lang w:bidi="lt-LT"/>
        </w:rPr>
        <w:t>Lietuvos banko valdybos nutarimo, kuriuo pareiškėjui buvo panaikintas elektroninių pinigų įstaigos licencijos, suteikiančios teisę leisti elektroninius pinigus ir teikti Mokėjimų įstatymo 5 straipsnio 3 punkte ir 5 punkte nurodytas mokėjimo paslaugas, galiojimas (toliau – Nutarimas), pagrįstumo ir teisėtumo.</w:t>
      </w:r>
    </w:p>
    <w:p w14:paraId="469D606A" w14:textId="7DB711B8" w:rsidR="00CF7368" w:rsidRPr="00CF7368" w:rsidRDefault="00CF7368" w:rsidP="00CF7368">
      <w:pPr>
        <w:ind w:firstLine="567"/>
        <w:jc w:val="both"/>
        <w:rPr>
          <w:rFonts w:asciiTheme="minorHAnsi" w:hAnsiTheme="minorHAnsi" w:cstheme="minorHAnsi"/>
          <w:sz w:val="22"/>
          <w:szCs w:val="22"/>
        </w:rPr>
      </w:pPr>
      <w:r w:rsidRPr="00CF7368">
        <w:rPr>
          <w:rFonts w:asciiTheme="minorHAnsi" w:hAnsiTheme="minorHAnsi" w:cstheme="minorHAnsi"/>
          <w:sz w:val="22"/>
          <w:szCs w:val="22"/>
        </w:rPr>
        <w:t>Pareiškėjo licencij</w:t>
      </w:r>
      <w:r w:rsidR="000607D4">
        <w:rPr>
          <w:rFonts w:asciiTheme="minorHAnsi" w:hAnsiTheme="minorHAnsi" w:cstheme="minorHAnsi"/>
          <w:sz w:val="22"/>
          <w:szCs w:val="22"/>
        </w:rPr>
        <w:t>ą</w:t>
      </w:r>
      <w:r w:rsidRPr="00CF7368">
        <w:rPr>
          <w:rFonts w:asciiTheme="minorHAnsi" w:hAnsiTheme="minorHAnsi" w:cstheme="minorHAnsi"/>
          <w:sz w:val="22"/>
          <w:szCs w:val="22"/>
        </w:rPr>
        <w:t xml:space="preserve"> Lietuvos bankas panaikino nustatęs Elektroninių pinigų ir elektroninių pinigų įstaigų įstatymo (toliau – EPEPĮĮ) ir Pinigų plovimo ir teroristų finansavimo prevencijos įstatymo (toliau – PPTFPĮ) pažeidimus, tokius kaip privalomo turėti nuosavo kapitalo neatitikimas, netinkamas rizikos vertinimu pagrįsto metodo įdiegimas, netinkamas klientų tapatybės nustatymas, netinkamos kliento pažinimo procedūros įdiegimas, netinkama klientų dalykinių santykių ir operacijų stebėsena, tinkamo tarptautinių finansinių sankcijų reikalavimų įgyvendinimo neužtikrinimas, nepakankamai efektyvi vidaus kontrolė </w:t>
      </w:r>
      <w:r w:rsidR="00985B9E" w:rsidRPr="00985B9E">
        <w:rPr>
          <w:rFonts w:asciiTheme="minorHAnsi" w:hAnsiTheme="minorHAnsi" w:cstheme="minorHAnsi"/>
          <w:sz w:val="22"/>
          <w:szCs w:val="22"/>
        </w:rPr>
        <w:t>pinigų plovimo (toliau – PP)</w:t>
      </w:r>
      <w:r w:rsidR="00985B9E">
        <w:rPr>
          <w:rFonts w:asciiTheme="minorHAnsi" w:hAnsiTheme="minorHAnsi" w:cstheme="minorHAnsi"/>
          <w:sz w:val="22"/>
          <w:szCs w:val="22"/>
        </w:rPr>
        <w:t xml:space="preserve"> ir </w:t>
      </w:r>
      <w:r w:rsidR="00985B9E" w:rsidRPr="00985B9E">
        <w:rPr>
          <w:rFonts w:asciiTheme="minorHAnsi" w:hAnsiTheme="minorHAnsi" w:cstheme="minorHAnsi"/>
          <w:sz w:val="22"/>
          <w:szCs w:val="22"/>
        </w:rPr>
        <w:t>teroristų finansavimo (toliau – TF)</w:t>
      </w:r>
      <w:r w:rsidRPr="00CF7368">
        <w:rPr>
          <w:rFonts w:asciiTheme="minorHAnsi" w:hAnsiTheme="minorHAnsi" w:cstheme="minorHAnsi"/>
          <w:sz w:val="22"/>
          <w:szCs w:val="22"/>
        </w:rPr>
        <w:t xml:space="preserve"> rizikos valdymo srityje ir valdybos nario </w:t>
      </w:r>
      <w:r w:rsidR="00B237C5">
        <w:rPr>
          <w:rFonts w:asciiTheme="minorHAnsi" w:hAnsiTheme="minorHAnsi" w:cstheme="minorHAnsi"/>
          <w:sz w:val="22"/>
          <w:szCs w:val="22"/>
        </w:rPr>
        <w:t>bei</w:t>
      </w:r>
      <w:r w:rsidRPr="00CF7368">
        <w:rPr>
          <w:rFonts w:asciiTheme="minorHAnsi" w:hAnsiTheme="minorHAnsi" w:cstheme="minorHAnsi"/>
          <w:sz w:val="22"/>
          <w:szCs w:val="22"/>
        </w:rPr>
        <w:t xml:space="preserve"> vadovaujančio darbuotojo, atsakingo už PP ir TF prevencijos priemonių įgyvendinimą, nepaskyrimas.</w:t>
      </w:r>
    </w:p>
    <w:p w14:paraId="1E888CFD" w14:textId="77777777" w:rsidR="00CF7368" w:rsidRPr="00CF7368" w:rsidRDefault="00CF7368" w:rsidP="00CF7368">
      <w:pPr>
        <w:ind w:firstLine="567"/>
        <w:jc w:val="both"/>
        <w:rPr>
          <w:rFonts w:asciiTheme="minorHAnsi" w:hAnsiTheme="minorHAnsi" w:cstheme="minorHAnsi"/>
          <w:sz w:val="22"/>
          <w:szCs w:val="22"/>
        </w:rPr>
      </w:pPr>
      <w:r w:rsidRPr="00CF7368">
        <w:rPr>
          <w:rFonts w:asciiTheme="minorHAnsi" w:hAnsiTheme="minorHAnsi" w:cstheme="minorHAnsi"/>
          <w:sz w:val="22"/>
          <w:szCs w:val="22"/>
        </w:rPr>
        <w:t>Pirmosios instancijos teismas nustatė, kad pareiškėjas padarė Lietuvos banko Nutarime nustatytus pažeidimus, ir pareiškėjo skundą atmetė.</w:t>
      </w:r>
    </w:p>
    <w:p w14:paraId="77958E83" w14:textId="77777777" w:rsidR="00CF7368" w:rsidRPr="00CF7368" w:rsidRDefault="00CF7368" w:rsidP="00CF7368">
      <w:pPr>
        <w:ind w:firstLine="567"/>
        <w:jc w:val="both"/>
        <w:rPr>
          <w:rFonts w:asciiTheme="minorHAnsi" w:hAnsiTheme="minorHAnsi" w:cstheme="minorHAnsi"/>
          <w:sz w:val="22"/>
          <w:szCs w:val="22"/>
          <w:lang w:bidi="lt-LT"/>
        </w:rPr>
      </w:pPr>
      <w:r w:rsidRPr="00CF7368">
        <w:rPr>
          <w:rFonts w:asciiTheme="minorHAnsi" w:hAnsiTheme="minorHAnsi" w:cstheme="minorHAnsi"/>
          <w:sz w:val="22"/>
          <w:szCs w:val="22"/>
          <w:lang w:bidi="lt-LT"/>
        </w:rPr>
        <w:t>Pareiškėjas pateikė apeliacinį skundą, kuriame nesutiko su pirmosios instancijos teismo sprendimu ir ginčijo visus Nutarime konstatuotus pažeidimus, taip pat kvestionavo paskirtos poveikio priemonės proporcingumą.</w:t>
      </w:r>
    </w:p>
    <w:p w14:paraId="3F89382B" w14:textId="77777777" w:rsidR="00CF7368" w:rsidRPr="00CF7368" w:rsidRDefault="00CF7368" w:rsidP="00CF7368">
      <w:pPr>
        <w:ind w:firstLine="567"/>
        <w:jc w:val="both"/>
        <w:rPr>
          <w:rFonts w:asciiTheme="minorHAnsi" w:hAnsiTheme="minorHAnsi" w:cstheme="minorHAnsi"/>
          <w:sz w:val="22"/>
          <w:szCs w:val="22"/>
          <w:lang w:bidi="lt-LT"/>
        </w:rPr>
      </w:pPr>
      <w:r w:rsidRPr="00CF7368">
        <w:rPr>
          <w:rFonts w:asciiTheme="minorHAnsi" w:hAnsiTheme="minorHAnsi" w:cstheme="minorHAnsi"/>
          <w:sz w:val="22"/>
          <w:szCs w:val="22"/>
          <w:lang w:bidi="lt-LT"/>
        </w:rPr>
        <w:t>Išplėstinė teisėjų kolegija pažymėjo, kad Direktyvoje Nr. 2015/849</w:t>
      </w:r>
      <w:r w:rsidRPr="00CF7368">
        <w:rPr>
          <w:rStyle w:val="FootnoteReference"/>
          <w:rFonts w:asciiTheme="minorHAnsi" w:hAnsiTheme="minorHAnsi" w:cstheme="minorHAnsi"/>
          <w:sz w:val="22"/>
          <w:szCs w:val="22"/>
          <w:lang w:bidi="lt-LT"/>
        </w:rPr>
        <w:footnoteReference w:id="10"/>
      </w:r>
      <w:r w:rsidRPr="00CF7368">
        <w:rPr>
          <w:rFonts w:asciiTheme="minorHAnsi" w:hAnsiTheme="minorHAnsi" w:cstheme="minorHAnsi"/>
          <w:sz w:val="22"/>
          <w:szCs w:val="22"/>
          <w:lang w:bidi="lt-LT"/>
        </w:rPr>
        <w:t>, kurią įgyvendina</w:t>
      </w:r>
      <w:r w:rsidRPr="00CF7368">
        <w:rPr>
          <w:rFonts w:asciiTheme="minorHAnsi" w:hAnsiTheme="minorHAnsi" w:cstheme="minorHAnsi"/>
          <w:sz w:val="22"/>
          <w:szCs w:val="22"/>
        </w:rPr>
        <w:t xml:space="preserve"> PPTFPĮ,</w:t>
      </w:r>
      <w:r w:rsidRPr="00CF7368">
        <w:rPr>
          <w:rFonts w:asciiTheme="minorHAnsi" w:hAnsiTheme="minorHAnsi" w:cstheme="minorHAnsi"/>
          <w:sz w:val="22"/>
          <w:szCs w:val="22"/>
          <w:lang w:bidi="lt-LT"/>
        </w:rPr>
        <w:t xml:space="preserve"> yra pabrėžiama kryptingos ir proporcingos prevencijos, neleidžiančios pasinaudoti finansų sistema pinigų plovimo ir </w:t>
      </w:r>
      <w:r w:rsidRPr="00CF7368">
        <w:rPr>
          <w:rFonts w:asciiTheme="minorHAnsi" w:hAnsiTheme="minorHAnsi" w:cstheme="minorHAnsi"/>
          <w:sz w:val="22"/>
          <w:szCs w:val="22"/>
          <w:lang w:bidi="lt-LT"/>
        </w:rPr>
        <w:lastRenderedPageBreak/>
        <w:t>teroristų finansavimo tikslais, svarba. Taip pat iš šios direktyvos valstybėms narėms kyla pareiga nacionalinėje teisėje nustatyti veiksmingas, proporcingas ir atgrasomąsias administracines sankcijas bei priemones už nacionalinių nuostatų, perkeliančių šią direktyvą į nacionalinę teisę, nesilaikymą, užtikrinant veiksmingą kovą su pinigų plovimu ir teroristų finansavimu.</w:t>
      </w:r>
    </w:p>
    <w:p w14:paraId="0E3C97C6" w14:textId="77777777" w:rsidR="00CF7368" w:rsidRPr="00CF7368" w:rsidRDefault="00CF7368" w:rsidP="00CF7368">
      <w:pPr>
        <w:ind w:firstLine="567"/>
        <w:jc w:val="both"/>
        <w:rPr>
          <w:rFonts w:asciiTheme="minorHAnsi" w:hAnsiTheme="minorHAnsi" w:cstheme="minorHAnsi"/>
          <w:sz w:val="22"/>
          <w:szCs w:val="22"/>
          <w:lang w:bidi="lt-LT"/>
        </w:rPr>
      </w:pPr>
      <w:r w:rsidRPr="00CF7368">
        <w:rPr>
          <w:rFonts w:asciiTheme="minorHAnsi" w:hAnsiTheme="minorHAnsi" w:cstheme="minorHAnsi"/>
          <w:sz w:val="22"/>
          <w:szCs w:val="22"/>
          <w:lang w:bidi="lt-LT"/>
        </w:rPr>
        <w:t>LVAT, įvertinęs bylos medžiagą ir ginčo šalių argumentus, nutarė, kad Lietuvos bankas pagrįstai nustatė ir tinkamai įvertino visus pareiškėjo padarytus teisės aktų pažeidimus.</w:t>
      </w:r>
    </w:p>
    <w:p w14:paraId="45974BB7" w14:textId="77777777" w:rsidR="00CF7368" w:rsidRPr="00CF7368" w:rsidRDefault="00CF7368" w:rsidP="00CF7368">
      <w:pPr>
        <w:ind w:firstLine="567"/>
        <w:jc w:val="both"/>
        <w:rPr>
          <w:rFonts w:asciiTheme="minorHAnsi" w:hAnsiTheme="minorHAnsi" w:cstheme="minorHAnsi"/>
          <w:sz w:val="22"/>
          <w:szCs w:val="22"/>
        </w:rPr>
      </w:pPr>
      <w:r w:rsidRPr="00CF7368">
        <w:rPr>
          <w:rFonts w:asciiTheme="minorHAnsi" w:hAnsiTheme="minorHAnsi" w:cstheme="minorHAnsi"/>
          <w:sz w:val="22"/>
          <w:szCs w:val="22"/>
        </w:rPr>
        <w:t xml:space="preserve">PPTFPĮ 34 straipsnio 1 dalies 4 punkte įtvirtinta, kad šiurkščiu šio įstatymo pažeidimu laikoma, jeigu finansų įstaiga ar kitas įpareigotasis subjektas neturi nustatęs šio įstatymo 29 straipsnyje nurodytų vidaus kontrolės procedūrų. Pagal PPTFPĮ 29 straipsnio 1 dalies 2 punktą, finansų įstaigos ir kiti įpareigotieji subjektai privalo nustatyti atitinkamą vidaus politiką ir vidaus kontrolės procedūras, susijusias su rizikos vertinimu, rizikos valdymu, atsižvelgiant į šio straipsnio 2 dalyje nustatytas rizikos rūšis. Išplėstinės teisėjų kolegijos vertinimu, </w:t>
      </w:r>
      <w:r w:rsidRPr="00CF7368">
        <w:rPr>
          <w:rFonts w:asciiTheme="minorHAnsi" w:hAnsiTheme="minorHAnsi" w:cstheme="minorHAnsi"/>
          <w:sz w:val="22"/>
          <w:szCs w:val="22"/>
          <w:u w:val="single"/>
        </w:rPr>
        <w:t>sisteminis PPTFPĮ 34 straipsnio 1 dalies 4 punkto ir 29 straipsnio 1 dalies 2 punkto aiškinimas suponuoja, kad finansų įstaigos ir kiti įpareigotieji subjektai privalo nustatyti ne bet kokią vidaus politiką ir vidaus kontrolės procedūras, susijusias su rizikos vertinimu, rizikos valdymu, bet tokią, kuri atitinka teisiniame reguliavime įtvirtintus reikalavimus – yra „atitinkama“ ir parengta atsižvelgiant į PPTFPĮ 29 straipsnio 2 dalyje nustatytas rizikos rūšis. Todėl teisinio reguliavimo nuostatų neatitinkanti ir su reikšmingais trūkumais parengta vidaus politika ir vidaus kontrolės procedūros, susijusios su rizikos vertinimu, rizikos valdymu, gali lemti šiurkštų PPTFPĮ pažeidimą ir prilygti situacijai, kai finansų įstaiga ar kitas įpareigotasis subjektas laikomas neturinčiu šio įstatymo 29 straipsnyje nurodytų vidaus kontrolės procedūrų</w:t>
      </w:r>
      <w:r w:rsidRPr="00CF7368">
        <w:rPr>
          <w:rFonts w:asciiTheme="minorHAnsi" w:hAnsiTheme="minorHAnsi" w:cstheme="minorHAnsi"/>
          <w:sz w:val="22"/>
          <w:szCs w:val="22"/>
        </w:rPr>
        <w:t>. Byloje nustatyta, kad pareiškėjas nevisiškai buvo įdiegęs rizikos vertinimu pagrįstą metodą, o pareiškėjo atliktas PP ir TF rizikos vertinimas turėjo reikšmingų trūkumų, kurie išsamiai išdėstyti Nutarime. Išplėstinės teisėjų kolegijos vertinimu, atsižvelgiant į tai, kad pareiškėjas pažeidė itin svarbius teisės aktų reikalavimus, susijusius su priemonių visoms PP ir TF rizikoms nustatyti, vertinti ir valdyti įdiegimu, o pažeidimo padariniai yra reikšmingi, neleidę užtikrinti atitinkamų PP ir TF prevencijos priemonių taikymo konkretiems klientams, pareiškėjo padarytas pažeidimas pagrįstai įvertintas kaip šiurkštus.</w:t>
      </w:r>
    </w:p>
    <w:p w14:paraId="58407B94" w14:textId="77777777" w:rsidR="00CF7368" w:rsidRPr="00CF7368" w:rsidRDefault="00CF7368" w:rsidP="00CF7368">
      <w:pPr>
        <w:ind w:firstLine="567"/>
        <w:jc w:val="both"/>
        <w:rPr>
          <w:rFonts w:asciiTheme="minorHAnsi" w:hAnsiTheme="minorHAnsi" w:cstheme="minorHAnsi"/>
          <w:sz w:val="22"/>
          <w:szCs w:val="22"/>
        </w:rPr>
      </w:pPr>
      <w:r w:rsidRPr="00CF7368">
        <w:rPr>
          <w:rFonts w:asciiTheme="minorHAnsi" w:hAnsiTheme="minorHAnsi" w:cstheme="minorHAnsi"/>
          <w:sz w:val="22"/>
          <w:szCs w:val="22"/>
        </w:rPr>
        <w:t>Įvertinusi tai, kad pareiškėjas vykdė priežiūros institucijos nurodymus ir teikė reikiamą informaciją, tačiau papildomos informacijos ar veiksmų, kurie turėjo ar galėjo padėti priežiūros institucijos atliekamo tyrimo metu, nepateikė ir neatliko, išplėstinė teisėjų kolegija sprendė, kad pirmosios instancijos teismas ir Lietuvos bankas pagrįstai nenustatė pareiškėjo bendradarbiavimo kaip atsakomybę lengvinančios aplinkybės Lietuvos banko įstatymo 43</w:t>
      </w:r>
      <w:r w:rsidRPr="00CF7368">
        <w:rPr>
          <w:rFonts w:asciiTheme="minorHAnsi" w:hAnsiTheme="minorHAnsi" w:cstheme="minorHAnsi"/>
          <w:sz w:val="22"/>
          <w:szCs w:val="22"/>
          <w:vertAlign w:val="superscript"/>
        </w:rPr>
        <w:t>3</w:t>
      </w:r>
      <w:r w:rsidRPr="00CF7368">
        <w:rPr>
          <w:rFonts w:asciiTheme="minorHAnsi" w:hAnsiTheme="minorHAnsi" w:cstheme="minorHAnsi"/>
          <w:sz w:val="22"/>
          <w:szCs w:val="22"/>
        </w:rPr>
        <w:t xml:space="preserve"> straipsnio 8 dalies pagrindu. Nors pareiškėjas teigė, kad jis aktyviai padėjo išsiaiškinti pažeidimo aplinkybes, bylos duomenys patvirtino, kad pareiškėjas nepripažino nustatytų pažeidimų padarymo ir juos neigė, taip pat byloje nebuvo duomenų, patvirtinančių, kad pareiškėjas aktyviai padėjo išsiaiškinti pažeidimo aplinkybes.</w:t>
      </w:r>
    </w:p>
    <w:p w14:paraId="3CD1BD46" w14:textId="77777777" w:rsidR="00CF7368" w:rsidRPr="00CF7368" w:rsidRDefault="00CF7368" w:rsidP="00CF7368">
      <w:pPr>
        <w:ind w:firstLine="567"/>
        <w:jc w:val="both"/>
        <w:rPr>
          <w:rFonts w:asciiTheme="minorHAnsi" w:hAnsiTheme="minorHAnsi" w:cstheme="minorHAnsi"/>
          <w:sz w:val="22"/>
          <w:szCs w:val="22"/>
        </w:rPr>
      </w:pPr>
      <w:r w:rsidRPr="00CF7368">
        <w:rPr>
          <w:rFonts w:asciiTheme="minorHAnsi" w:hAnsiTheme="minorHAnsi" w:cstheme="minorHAnsi"/>
          <w:sz w:val="22"/>
          <w:szCs w:val="22"/>
        </w:rPr>
        <w:t xml:space="preserve">Europos Sąjungos Bendrasis Teismas yra nurodęs, jog už pažeidimą atsakingo asmens ir kitų asmenų, padariusių panašius pažeidimus, lyginamoji analizė nebūtina tam, kad būtų galima apkaltinti kokį nors fizinį ar juridinį asmenį kuriuo nors pažeidimu. Vienintelė analizė, kurią reikia atlikti, yra faktinių aplinkybių, kuriomis pažeidžiama teisės akto nuostata, nustatanti tam tikrą elgesį, įvertinimas. Pažeidimo sunkumas turi būti vertinamas atsižvelgiant ne į kitų asmenų veiksmų sunkumą, o tik į teisės aktuose nustatytus standartus, kurių reikalaujama pagal taikytinas teisės nuostatas, nes šis sunkumas svarbus tik nustatant tinkamą sankcijos dydį. Be to, net jei būtų priimti kiti sprendimai dėl kitų kredito įstaigų veiklos leidimų panaikinimo už teisės aktuose nustatytų tam tikros srities reikalavimų pažeidimus, tokie sprendimai nebūtų privalomi Europos Centriniam Bankui (2021 m. spalio 6 d. sprendimas bylose </w:t>
      </w:r>
      <w:r w:rsidRPr="00CF7368">
        <w:rPr>
          <w:rFonts w:asciiTheme="minorHAnsi" w:hAnsiTheme="minorHAnsi" w:cstheme="minorHAnsi"/>
          <w:i/>
          <w:iCs/>
          <w:sz w:val="22"/>
          <w:szCs w:val="22"/>
        </w:rPr>
        <w:t>Ukrselhosprom PCF LLC, Versobank AS</w:t>
      </w:r>
      <w:r w:rsidRPr="00CF7368">
        <w:rPr>
          <w:rFonts w:asciiTheme="minorHAnsi" w:hAnsiTheme="minorHAnsi" w:cstheme="minorHAnsi"/>
          <w:sz w:val="22"/>
          <w:szCs w:val="22"/>
        </w:rPr>
        <w:t>, Nr. T</w:t>
      </w:r>
      <w:r w:rsidRPr="00CF7368">
        <w:rPr>
          <w:rFonts w:ascii="Cambria Math" w:hAnsi="Cambria Math" w:cs="Cambria Math"/>
          <w:sz w:val="22"/>
          <w:szCs w:val="22"/>
        </w:rPr>
        <w:t>‑</w:t>
      </w:r>
      <w:r w:rsidRPr="00CF7368">
        <w:rPr>
          <w:rFonts w:asciiTheme="minorHAnsi" w:hAnsiTheme="minorHAnsi" w:cstheme="minorHAnsi"/>
          <w:sz w:val="22"/>
          <w:szCs w:val="22"/>
        </w:rPr>
        <w:t>351/18 ir T</w:t>
      </w:r>
      <w:r w:rsidRPr="00CF7368">
        <w:rPr>
          <w:rFonts w:ascii="Cambria Math" w:hAnsi="Cambria Math" w:cs="Cambria Math"/>
          <w:sz w:val="22"/>
          <w:szCs w:val="22"/>
        </w:rPr>
        <w:t>‑</w:t>
      </w:r>
      <w:r w:rsidRPr="00CF7368">
        <w:rPr>
          <w:rFonts w:asciiTheme="minorHAnsi" w:hAnsiTheme="minorHAnsi" w:cstheme="minorHAnsi"/>
          <w:sz w:val="22"/>
          <w:szCs w:val="22"/>
        </w:rPr>
        <w:t>584/18, ECLI:EU:T:2021:669, 353 punktas).</w:t>
      </w:r>
    </w:p>
    <w:p w14:paraId="5556FE78" w14:textId="77777777" w:rsidR="00CF7368" w:rsidRPr="00CF7368" w:rsidRDefault="00CF7368" w:rsidP="00CF7368">
      <w:pPr>
        <w:ind w:firstLine="567"/>
        <w:jc w:val="both"/>
        <w:rPr>
          <w:rFonts w:asciiTheme="minorHAnsi" w:hAnsiTheme="minorHAnsi" w:cstheme="minorHAnsi"/>
          <w:sz w:val="22"/>
          <w:szCs w:val="22"/>
        </w:rPr>
      </w:pPr>
      <w:r w:rsidRPr="00CF7368">
        <w:rPr>
          <w:rFonts w:asciiTheme="minorHAnsi" w:hAnsiTheme="minorHAnsi" w:cstheme="minorHAnsi"/>
          <w:sz w:val="22"/>
          <w:szCs w:val="22"/>
        </w:rPr>
        <w:t xml:space="preserve">Vadovaudamasi Europos Sąjungos teisminių institucijų pateiktais išaiškinimais, išplėstinė teisėjų kolegija sprendė, kad </w:t>
      </w:r>
      <w:r w:rsidRPr="00CF7368">
        <w:rPr>
          <w:rFonts w:asciiTheme="minorHAnsi" w:hAnsiTheme="minorHAnsi" w:cstheme="minorHAnsi"/>
          <w:sz w:val="22"/>
          <w:szCs w:val="22"/>
          <w:u w:val="single"/>
        </w:rPr>
        <w:t>tam, jog ūkio subjektui būtų pritaikyta pati griežčiausia poveikio priemonė – licencijos galiojimo panaikinimas – nėra būtina sulyginti dėl tokio ūkio subjekto atlikto tyrimo duomenis su kitais Lietuvos banko tyrimais ir kituose tyrimuose ūkio subjektams už panašius pažeidimus taikytas sankcijas. Tokios poveikio priemonės taikymui yra svarbu tinkamai įvertinti faktines aplinkybes, kuriomis pažeidžiamos teisės aktų nuostatos, nustatančios tam tikras elgesio taisykles, o pažeidimo sunkumas, nustatant tinkamą sankcijos dydį, vertinamas atsižvelgiant į teisės aktuose nustatytus standartus</w:t>
      </w:r>
      <w:r w:rsidRPr="00CF7368">
        <w:rPr>
          <w:rFonts w:asciiTheme="minorHAnsi" w:hAnsiTheme="minorHAnsi" w:cstheme="minorHAnsi"/>
          <w:sz w:val="22"/>
          <w:szCs w:val="22"/>
        </w:rPr>
        <w:t>.</w:t>
      </w:r>
    </w:p>
    <w:p w14:paraId="056D2BD9" w14:textId="69539D7A" w:rsidR="00CF7368" w:rsidRPr="00CF7368" w:rsidRDefault="00CF7368" w:rsidP="00CF7368">
      <w:pPr>
        <w:ind w:firstLine="567"/>
        <w:jc w:val="both"/>
        <w:rPr>
          <w:rFonts w:asciiTheme="minorHAnsi" w:hAnsiTheme="minorHAnsi" w:cstheme="minorHAnsi"/>
          <w:sz w:val="22"/>
          <w:szCs w:val="22"/>
        </w:rPr>
      </w:pPr>
      <w:r w:rsidRPr="00CF7368">
        <w:rPr>
          <w:rFonts w:asciiTheme="minorHAnsi" w:hAnsiTheme="minorHAnsi" w:cstheme="minorHAnsi"/>
          <w:sz w:val="22"/>
          <w:szCs w:val="22"/>
        </w:rPr>
        <w:t xml:space="preserve">Atsižvelgiant į pareiškėjo padarytų pažeidimų pobūdį, jo individualią situaciją, padaryto pažeidimo įtaką finansų rinkos skaidrumui ir patikimumui </w:t>
      </w:r>
      <w:r w:rsidR="006C05D7">
        <w:rPr>
          <w:rFonts w:asciiTheme="minorHAnsi" w:hAnsiTheme="minorHAnsi" w:cstheme="minorHAnsi"/>
          <w:sz w:val="22"/>
          <w:szCs w:val="22"/>
        </w:rPr>
        <w:t>be</w:t>
      </w:r>
      <w:r w:rsidRPr="00CF7368">
        <w:rPr>
          <w:rFonts w:asciiTheme="minorHAnsi" w:hAnsiTheme="minorHAnsi" w:cstheme="minorHAnsi"/>
          <w:sz w:val="22"/>
          <w:szCs w:val="22"/>
        </w:rPr>
        <w:t xml:space="preserve">i kitus nutartyje įvardytus veiksnius, Lietuvos banko pareiškėjui </w:t>
      </w:r>
      <w:r w:rsidRPr="00CF7368">
        <w:rPr>
          <w:rFonts w:asciiTheme="minorHAnsi" w:hAnsiTheme="minorHAnsi" w:cstheme="minorHAnsi"/>
          <w:sz w:val="22"/>
          <w:szCs w:val="22"/>
        </w:rPr>
        <w:lastRenderedPageBreak/>
        <w:t>pritaikyta poveikio priemonė pripažinta pagrįsta ir proporcinga padarytam pažeidimui, atitinkančia pareiškėjo padarytų teisės pažeidimų pobūdį, jų mastą, teisingumo, protingumo kriterijus, paskirtą pagal Lietuvos banko įstatymo 43</w:t>
      </w:r>
      <w:r w:rsidRPr="00CF7368">
        <w:rPr>
          <w:rFonts w:asciiTheme="minorHAnsi" w:hAnsiTheme="minorHAnsi" w:cstheme="minorHAnsi"/>
          <w:sz w:val="22"/>
          <w:szCs w:val="22"/>
          <w:vertAlign w:val="superscript"/>
        </w:rPr>
        <w:t>3</w:t>
      </w:r>
      <w:r w:rsidRPr="00CF7368">
        <w:rPr>
          <w:rFonts w:asciiTheme="minorHAnsi" w:hAnsiTheme="minorHAnsi" w:cstheme="minorHAnsi"/>
          <w:sz w:val="22"/>
          <w:szCs w:val="22"/>
        </w:rPr>
        <w:t xml:space="preserve"> straipsnio 7</w:t>
      </w:r>
      <w:r w:rsidR="00B01D7F">
        <w:rPr>
          <w:rFonts w:asciiTheme="minorHAnsi" w:hAnsiTheme="minorHAnsi" w:cstheme="minorHAnsi"/>
          <w:sz w:val="22"/>
          <w:szCs w:val="22"/>
        </w:rPr>
        <w:t xml:space="preserve"> </w:t>
      </w:r>
      <w:r w:rsidRPr="00CF7368">
        <w:rPr>
          <w:rFonts w:asciiTheme="minorHAnsi" w:hAnsiTheme="minorHAnsi" w:cstheme="minorHAnsi"/>
          <w:sz w:val="22"/>
          <w:szCs w:val="22"/>
        </w:rPr>
        <w:t>dalies reikalavimus ir atitinkančią minimalios ir proporcingos ūkio subjektų veiklos priežiūros naštos principą. Atsižvelgiant į individualią pareiškėjo situaciją, švelnesnės poveikio priemonės taikymas neleistų pasiekti finansų rinkos priežiūros tikslų, veiksmingai neužtikrintų finansų rinkos skaidrumo ir stabilumo.</w:t>
      </w:r>
    </w:p>
    <w:p w14:paraId="4837C6AC" w14:textId="77777777" w:rsidR="00CF7368" w:rsidRPr="00CF7368" w:rsidRDefault="00CF7368" w:rsidP="00CF7368">
      <w:pPr>
        <w:ind w:firstLine="567"/>
        <w:jc w:val="both"/>
        <w:rPr>
          <w:rFonts w:asciiTheme="minorHAnsi" w:hAnsiTheme="minorHAnsi" w:cstheme="minorHAnsi"/>
          <w:sz w:val="22"/>
          <w:szCs w:val="22"/>
        </w:rPr>
      </w:pPr>
      <w:r w:rsidRPr="00CF7368">
        <w:rPr>
          <w:rFonts w:asciiTheme="minorHAnsi" w:hAnsiTheme="minorHAnsi" w:cstheme="minorHAnsi"/>
          <w:sz w:val="22"/>
          <w:szCs w:val="22"/>
        </w:rPr>
        <w:t>Pirmosios instancijos teismo sprendimas paliktas nepakeistas, o pareiškėjo apeliacinis skundas atmestas.</w:t>
      </w:r>
    </w:p>
    <w:p w14:paraId="1ECDA015" w14:textId="77777777" w:rsidR="00CF7368" w:rsidRPr="00CF7368" w:rsidRDefault="00CF7368" w:rsidP="00CF7368">
      <w:pPr>
        <w:ind w:firstLine="567"/>
        <w:jc w:val="both"/>
        <w:rPr>
          <w:rFonts w:asciiTheme="minorHAnsi" w:hAnsiTheme="minorHAnsi" w:cstheme="minorHAnsi"/>
          <w:sz w:val="22"/>
          <w:szCs w:val="22"/>
        </w:rPr>
      </w:pPr>
    </w:p>
    <w:p w14:paraId="5183192C" w14:textId="77777777" w:rsidR="00CF7368" w:rsidRPr="00CF7368" w:rsidRDefault="00CF7368" w:rsidP="00CF7368">
      <w:pPr>
        <w:jc w:val="both"/>
        <w:rPr>
          <w:rFonts w:asciiTheme="minorHAnsi" w:hAnsiTheme="minorHAnsi" w:cstheme="minorHAnsi"/>
          <w:bCs/>
          <w:sz w:val="22"/>
          <w:szCs w:val="22"/>
        </w:rPr>
      </w:pPr>
      <w:r w:rsidRPr="00CF7368">
        <w:rPr>
          <w:rFonts w:asciiTheme="minorHAnsi" w:hAnsiTheme="minorHAnsi" w:cstheme="minorHAnsi"/>
          <w:sz w:val="22"/>
          <w:szCs w:val="22"/>
        </w:rPr>
        <w:t xml:space="preserve">Išplėstinės teisėjų kolegijos 2024 m. lapkričio </w:t>
      </w:r>
      <w:r w:rsidRPr="00CF7368">
        <w:rPr>
          <w:rFonts w:asciiTheme="minorHAnsi" w:hAnsiTheme="minorHAnsi" w:cstheme="minorHAnsi"/>
          <w:bCs/>
          <w:sz w:val="22"/>
          <w:szCs w:val="22"/>
        </w:rPr>
        <w:t>13</w:t>
      </w:r>
      <w:r w:rsidRPr="00CF7368">
        <w:rPr>
          <w:rFonts w:asciiTheme="minorHAnsi" w:hAnsiTheme="minorHAnsi" w:cstheme="minorHAnsi"/>
          <w:sz w:val="22"/>
          <w:szCs w:val="22"/>
        </w:rPr>
        <w:t xml:space="preserve"> d. nutartis administracinėje byloje </w:t>
      </w:r>
      <w:r w:rsidRPr="00CF7368">
        <w:rPr>
          <w:rFonts w:asciiTheme="minorHAnsi" w:hAnsiTheme="minorHAnsi" w:cstheme="minorHAnsi"/>
          <w:bCs/>
          <w:sz w:val="22"/>
          <w:szCs w:val="22"/>
        </w:rPr>
        <w:t>Nr. eA-9-822/2024</w:t>
      </w:r>
    </w:p>
    <w:p w14:paraId="2D699B21" w14:textId="77777777" w:rsidR="00CF7368" w:rsidRPr="00CF7368" w:rsidRDefault="00CF7368" w:rsidP="00CF7368">
      <w:pPr>
        <w:jc w:val="both"/>
        <w:rPr>
          <w:rFonts w:asciiTheme="minorHAnsi" w:hAnsiTheme="minorHAnsi" w:cstheme="minorHAnsi"/>
          <w:bCs/>
          <w:sz w:val="22"/>
          <w:szCs w:val="22"/>
        </w:rPr>
      </w:pPr>
      <w:r w:rsidRPr="00CF7368">
        <w:rPr>
          <w:rFonts w:asciiTheme="minorHAnsi" w:hAnsiTheme="minorHAnsi" w:cstheme="minorHAnsi"/>
          <w:bCs/>
          <w:sz w:val="22"/>
          <w:szCs w:val="22"/>
        </w:rPr>
        <w:t>Teisminio proceso Nr. 3-61-3-02274-2021-3</w:t>
      </w:r>
    </w:p>
    <w:p w14:paraId="47711B47" w14:textId="77777777" w:rsidR="00CF7368" w:rsidRPr="00CF7368" w:rsidRDefault="00CF7368" w:rsidP="00CF7368">
      <w:pPr>
        <w:jc w:val="both"/>
        <w:rPr>
          <w:rStyle w:val="Hyperlink"/>
          <w:rFonts w:asciiTheme="minorHAnsi" w:hAnsiTheme="minorHAnsi" w:cstheme="minorHAnsi"/>
          <w:sz w:val="22"/>
          <w:szCs w:val="22"/>
        </w:rPr>
      </w:pPr>
      <w:hyperlink r:id="rId26" w:history="1">
        <w:r w:rsidRPr="00CF7368">
          <w:rPr>
            <w:rStyle w:val="Hyperlink"/>
            <w:rFonts w:asciiTheme="minorHAnsi" w:hAnsiTheme="minorHAnsi" w:cstheme="minorHAnsi"/>
            <w:sz w:val="22"/>
            <w:szCs w:val="22"/>
          </w:rPr>
          <w:t>Prieiga internete</w:t>
        </w:r>
      </w:hyperlink>
    </w:p>
    <w:p w14:paraId="5161E875" w14:textId="7635FABA" w:rsidR="00B1604A" w:rsidRDefault="00B1604A" w:rsidP="00A32A5C">
      <w:pPr>
        <w:ind w:firstLine="567"/>
        <w:rPr>
          <w:rFonts w:asciiTheme="minorHAnsi" w:hAnsiTheme="minorHAnsi" w:cstheme="minorHAnsi"/>
          <w:sz w:val="22"/>
          <w:szCs w:val="22"/>
        </w:rPr>
      </w:pPr>
    </w:p>
    <w:p w14:paraId="41AC1DA4" w14:textId="77777777" w:rsidR="00B5710E" w:rsidRPr="009256A8" w:rsidRDefault="00B5710E" w:rsidP="00B5710E">
      <w:pPr>
        <w:pStyle w:val="Apzvalgai1"/>
        <w:rPr>
          <w:rFonts w:asciiTheme="minorHAnsi" w:hAnsiTheme="minorHAnsi" w:cstheme="minorHAnsi"/>
        </w:rPr>
      </w:pPr>
      <w:bookmarkStart w:id="45" w:name="_Toc187075155"/>
      <w:r w:rsidRPr="009256A8">
        <w:rPr>
          <w:rFonts w:asciiTheme="minorHAnsi" w:hAnsiTheme="minorHAnsi" w:cstheme="minorHAnsi"/>
        </w:rPr>
        <w:t>36. Ginklų ir šaudmenų kontrolė</w:t>
      </w:r>
      <w:bookmarkEnd w:id="45"/>
    </w:p>
    <w:p w14:paraId="02F9F7B2" w14:textId="77777777" w:rsidR="00B5710E" w:rsidRPr="009256A8" w:rsidRDefault="00B5710E" w:rsidP="00B5710E">
      <w:pPr>
        <w:pStyle w:val="NoSpacing"/>
        <w:rPr>
          <w:rFonts w:cstheme="minorHAnsi"/>
          <w:highlight w:val="yellow"/>
          <w:lang w:eastAsia="lt-LT"/>
        </w:rPr>
      </w:pPr>
    </w:p>
    <w:p w14:paraId="4AA01658" w14:textId="77777777" w:rsidR="00B5710E" w:rsidRPr="00B5710E" w:rsidRDefault="00B5710E" w:rsidP="00B5710E">
      <w:pPr>
        <w:jc w:val="both"/>
        <w:outlineLvl w:val="1"/>
        <w:rPr>
          <w:rFonts w:asciiTheme="minorHAnsi" w:eastAsia="Calibri" w:hAnsiTheme="minorHAnsi"/>
          <w:i/>
          <w:sz w:val="22"/>
          <w:szCs w:val="22"/>
        </w:rPr>
      </w:pPr>
      <w:bookmarkStart w:id="46" w:name="_Toc187075156"/>
      <w:r w:rsidRPr="00B5710E">
        <w:rPr>
          <w:rFonts w:asciiTheme="minorHAnsi" w:eastAsia="Calibri" w:hAnsiTheme="minorHAnsi" w:cstheme="minorHAnsi"/>
          <w:i/>
          <w:sz w:val="22"/>
          <w:szCs w:val="22"/>
        </w:rPr>
        <w:t xml:space="preserve">Dėl </w:t>
      </w:r>
      <w:r w:rsidRPr="00B5710E">
        <w:rPr>
          <w:rFonts w:asciiTheme="minorHAnsi" w:eastAsia="Calibri" w:hAnsiTheme="minorHAnsi"/>
          <w:i/>
          <w:sz w:val="22"/>
          <w:szCs w:val="22"/>
        </w:rPr>
        <w:t>reikalavimo panaikinti leidimą laikyti ir nešiotis ginklus imperatyvaus pobūdžio</w:t>
      </w:r>
      <w:bookmarkEnd w:id="46"/>
    </w:p>
    <w:p w14:paraId="7A860E07" w14:textId="77777777" w:rsidR="00B5710E" w:rsidRPr="00B5710E" w:rsidRDefault="00B5710E" w:rsidP="00B5710E">
      <w:pPr>
        <w:pStyle w:val="paragraph"/>
        <w:spacing w:before="0" w:beforeAutospacing="0" w:after="0" w:afterAutospacing="0"/>
        <w:ind w:firstLine="567"/>
        <w:jc w:val="both"/>
        <w:textAlignment w:val="baseline"/>
        <w:rPr>
          <w:rStyle w:val="normaltextrun"/>
          <w:rFonts w:asciiTheme="minorHAnsi" w:hAnsiTheme="minorHAnsi" w:cstheme="minorHAnsi"/>
          <w:sz w:val="22"/>
          <w:szCs w:val="22"/>
        </w:rPr>
      </w:pPr>
    </w:p>
    <w:p w14:paraId="03D50E25" w14:textId="4AF7668B" w:rsidR="00B5710E" w:rsidRPr="00B5710E" w:rsidRDefault="00B5710E" w:rsidP="00B5710E">
      <w:pPr>
        <w:pStyle w:val="paragraph"/>
        <w:spacing w:before="0" w:beforeAutospacing="0" w:after="0" w:afterAutospacing="0"/>
        <w:ind w:firstLine="567"/>
        <w:jc w:val="both"/>
        <w:textAlignment w:val="baseline"/>
        <w:rPr>
          <w:rStyle w:val="normaltextrun"/>
          <w:rFonts w:asciiTheme="minorHAnsi" w:hAnsiTheme="minorHAnsi" w:cstheme="minorHAnsi"/>
          <w:sz w:val="22"/>
          <w:szCs w:val="22"/>
        </w:rPr>
      </w:pPr>
      <w:r w:rsidRPr="00B5710E">
        <w:rPr>
          <w:rStyle w:val="normaltextrun"/>
          <w:rFonts w:asciiTheme="minorHAnsi" w:hAnsiTheme="minorHAnsi" w:cstheme="minorHAnsi"/>
          <w:sz w:val="22"/>
          <w:szCs w:val="22"/>
        </w:rPr>
        <w:t xml:space="preserve">Apžvelgiamoje byloje ginčas kilo </w:t>
      </w:r>
      <w:r w:rsidR="00783C1A">
        <w:rPr>
          <w:rStyle w:val="normaltextrun"/>
          <w:rFonts w:asciiTheme="minorHAnsi" w:hAnsiTheme="minorHAnsi" w:cstheme="minorHAnsi"/>
          <w:sz w:val="22"/>
          <w:szCs w:val="22"/>
        </w:rPr>
        <w:t xml:space="preserve">dėl </w:t>
      </w:r>
      <w:r w:rsidRPr="00B5710E">
        <w:rPr>
          <w:rStyle w:val="normaltextrun"/>
          <w:rFonts w:asciiTheme="minorHAnsi" w:hAnsiTheme="minorHAnsi" w:cstheme="minorHAnsi"/>
          <w:sz w:val="22"/>
          <w:szCs w:val="22"/>
        </w:rPr>
        <w:t xml:space="preserve">Vilniaus </w:t>
      </w:r>
      <w:r w:rsidRPr="00B5710E">
        <w:rPr>
          <w:rFonts w:asciiTheme="minorHAnsi" w:hAnsiTheme="minorHAnsi" w:cstheme="minorHAnsi"/>
          <w:sz w:val="22"/>
          <w:szCs w:val="22"/>
        </w:rPr>
        <w:t>apskrities vyriausiojo policijos komisariato (toliau – Vilniaus AVPK)</w:t>
      </w:r>
      <w:r w:rsidRPr="00B5710E">
        <w:rPr>
          <w:rStyle w:val="normaltextrun"/>
          <w:rFonts w:asciiTheme="minorHAnsi" w:hAnsiTheme="minorHAnsi" w:cstheme="minorHAnsi"/>
          <w:sz w:val="22"/>
          <w:szCs w:val="22"/>
        </w:rPr>
        <w:t xml:space="preserve"> Viešosios tvarkos valdybos viršininko sprendim</w:t>
      </w:r>
      <w:r w:rsidR="00783C1A">
        <w:rPr>
          <w:rStyle w:val="normaltextrun"/>
          <w:rFonts w:asciiTheme="minorHAnsi" w:hAnsiTheme="minorHAnsi" w:cstheme="minorHAnsi"/>
          <w:sz w:val="22"/>
          <w:szCs w:val="22"/>
        </w:rPr>
        <w:t>o</w:t>
      </w:r>
      <w:r w:rsidRPr="00B5710E">
        <w:rPr>
          <w:rStyle w:val="normaltextrun"/>
          <w:rFonts w:asciiTheme="minorHAnsi" w:hAnsiTheme="minorHAnsi" w:cstheme="minorHAnsi"/>
          <w:sz w:val="22"/>
          <w:szCs w:val="22"/>
        </w:rPr>
        <w:t xml:space="preserve"> dėl pareiškėjui išduoto leidimo laikyti (nešiotis) ginklus panaikinimo.</w:t>
      </w:r>
    </w:p>
    <w:p w14:paraId="1F8C4EA0" w14:textId="77777777" w:rsidR="00B5710E" w:rsidRPr="00B5710E" w:rsidRDefault="00B5710E" w:rsidP="00B5710E">
      <w:pPr>
        <w:pStyle w:val="paragraph"/>
        <w:spacing w:before="0" w:beforeAutospacing="0" w:after="0" w:afterAutospacing="0"/>
        <w:ind w:firstLine="567"/>
        <w:jc w:val="both"/>
        <w:textAlignment w:val="baseline"/>
        <w:rPr>
          <w:rStyle w:val="normaltextrun"/>
          <w:rFonts w:asciiTheme="minorHAnsi" w:hAnsiTheme="minorHAnsi" w:cstheme="minorHAnsi"/>
          <w:sz w:val="22"/>
          <w:szCs w:val="22"/>
        </w:rPr>
      </w:pPr>
      <w:r w:rsidRPr="00B5710E">
        <w:rPr>
          <w:rStyle w:val="normaltextrun"/>
          <w:rFonts w:asciiTheme="minorHAnsi" w:hAnsiTheme="minorHAnsi" w:cstheme="minorHAnsi"/>
          <w:sz w:val="22"/>
          <w:szCs w:val="22"/>
        </w:rPr>
        <w:t>Pirmosios instancijos teismas atsakovo skundą tenkino iš dalies: panaikino Komisijos sprendimą, konstatavęs, kad Komisija nepagrįstai sprendė, jog Vilniaus AVPK sprendimas yra neišsamus ir nepakankamai motyvuotas; tačiau teismas, nors ir kitais nei Komisija argumentais, taip pat panaikino Vilniaus AVPK sprendimą, iš esmės konstatavęs, kad, nepaisant to, jog Vilniaus AVPK sprendimas priimtas nepažeidžiant įstatymų, pareiškėjui išduoto leidimo laikyti (nešiotis) ginklus panaikinimas būtų neproporcinga priemonė, varžanti pareiškėją akivaizdžiai labiau negu reikia Ginklų ir šaudmenų kontrolės įstatymo (toliau – Įstatymas) 1 straipsnio 1 dalyje nustatytam tikslui pasiekti.</w:t>
      </w:r>
    </w:p>
    <w:p w14:paraId="64B117E8" w14:textId="77777777" w:rsidR="00B5710E" w:rsidRPr="00B5710E" w:rsidRDefault="00B5710E" w:rsidP="00B5710E">
      <w:pPr>
        <w:pStyle w:val="paragraph"/>
        <w:spacing w:before="0" w:beforeAutospacing="0" w:after="0" w:afterAutospacing="0"/>
        <w:ind w:firstLine="567"/>
        <w:jc w:val="both"/>
        <w:textAlignment w:val="baseline"/>
        <w:rPr>
          <w:rStyle w:val="normaltextrun"/>
          <w:rFonts w:asciiTheme="minorHAnsi" w:hAnsiTheme="minorHAnsi" w:cstheme="minorHAnsi"/>
          <w:sz w:val="22"/>
          <w:szCs w:val="22"/>
        </w:rPr>
      </w:pPr>
      <w:r w:rsidRPr="00B5710E">
        <w:rPr>
          <w:rStyle w:val="normaltextrun"/>
          <w:rFonts w:asciiTheme="minorHAnsi" w:hAnsiTheme="minorHAnsi" w:cstheme="minorHAnsi"/>
          <w:sz w:val="22"/>
          <w:szCs w:val="22"/>
        </w:rPr>
        <w:t>Atsakovas apeliaciniame skunde su pirmosios instancijos teismo sprendimu nesutiko. Jo nuomone, teismas, panaikinęs laikantis Įstatymo nuostatų priimtą Vilniaus AVPK sprendimą, peržengė savo diskrecijos ribas.</w:t>
      </w:r>
    </w:p>
    <w:p w14:paraId="78EEF991" w14:textId="7E589598" w:rsidR="00B5710E" w:rsidRPr="00B5710E" w:rsidRDefault="00B5710E" w:rsidP="00B5710E">
      <w:pPr>
        <w:pStyle w:val="paragraph"/>
        <w:spacing w:before="0" w:beforeAutospacing="0" w:after="0" w:afterAutospacing="0"/>
        <w:ind w:firstLine="567"/>
        <w:jc w:val="both"/>
        <w:textAlignment w:val="baseline"/>
        <w:rPr>
          <w:rStyle w:val="normaltextrun"/>
          <w:rFonts w:asciiTheme="minorHAnsi" w:hAnsiTheme="minorHAnsi" w:cstheme="minorHAnsi"/>
          <w:sz w:val="22"/>
          <w:szCs w:val="22"/>
        </w:rPr>
      </w:pPr>
      <w:r w:rsidRPr="00B5710E">
        <w:rPr>
          <w:rStyle w:val="normaltextrun"/>
          <w:rFonts w:asciiTheme="minorHAnsi" w:hAnsiTheme="minorHAnsi" w:cstheme="minorHAnsi"/>
          <w:sz w:val="22"/>
          <w:szCs w:val="22"/>
        </w:rPr>
        <w:t>Byloje nustatyta, kad Vilniaus AVPK sprendimu pareiškėjo leidimas laikyti (nešiotis) ginklus panaikintas, vadovaujantis Įstatymo 40 straipsnio 1 dalies 5 punktu ir 18 straipsnio 2 dalies 7 punktu, nustačius, kad 2022 m. lapkričio 22 d. įsiteisėjusiu Vilniaus apygardos teismo nuosprendžiu baudžiamojoje byloje pareiškėjas buvo atleistas nuo baudžiamosios atsakomybės pagal BK 253 straipsnio 1 dalį dėl mažareikšmiškumo ir baudžiamoji byla buvo nutraukta. BK 253 straipsnio „Neteisėtas disponavimas šaunamaisiais ginklais, šaudmenimis, sprogmenimis ar sprogstamosiomis medžiagomis“ 1 dalyje (redakcija</w:t>
      </w:r>
      <w:r w:rsidR="00344D99">
        <w:rPr>
          <w:rStyle w:val="normaltextrun"/>
          <w:rFonts w:asciiTheme="minorHAnsi" w:hAnsiTheme="minorHAnsi" w:cstheme="minorHAnsi"/>
          <w:sz w:val="22"/>
          <w:szCs w:val="22"/>
        </w:rPr>
        <w:t>,</w:t>
      </w:r>
      <w:r w:rsidRPr="00B5710E">
        <w:rPr>
          <w:rStyle w:val="normaltextrun"/>
          <w:rFonts w:asciiTheme="minorHAnsi" w:hAnsiTheme="minorHAnsi" w:cstheme="minorHAnsi"/>
          <w:sz w:val="22"/>
          <w:szCs w:val="22"/>
        </w:rPr>
        <w:t xml:space="preserve"> galiojusi iki 2023 m. birželio 1 d.) nustatyta, kad tas, kas neturėdamas leidimo gamino, įgijo, laikė, nešiojo, gabeno ar realizavo šaunamąjį ginklą, šaudmenis, sprogmenis ar sprogstamąsias medžiagas, baudžiamas areštu arba laisvės atėmimu iki </w:t>
      </w:r>
      <w:r w:rsidR="00344D99">
        <w:rPr>
          <w:rStyle w:val="normaltextrun"/>
          <w:rFonts w:asciiTheme="minorHAnsi" w:hAnsiTheme="minorHAnsi" w:cstheme="minorHAnsi"/>
          <w:sz w:val="22"/>
          <w:szCs w:val="22"/>
        </w:rPr>
        <w:t>5</w:t>
      </w:r>
      <w:r w:rsidRPr="00B5710E">
        <w:rPr>
          <w:rStyle w:val="normaltextrun"/>
          <w:rFonts w:asciiTheme="minorHAnsi" w:hAnsiTheme="minorHAnsi" w:cstheme="minorHAnsi"/>
          <w:sz w:val="22"/>
          <w:szCs w:val="22"/>
        </w:rPr>
        <w:t xml:space="preserve"> metų.</w:t>
      </w:r>
    </w:p>
    <w:p w14:paraId="02E92B29" w14:textId="77777777" w:rsidR="00B5710E" w:rsidRPr="00B5710E" w:rsidRDefault="00B5710E" w:rsidP="00B5710E">
      <w:pPr>
        <w:pStyle w:val="paragraph"/>
        <w:spacing w:before="0" w:beforeAutospacing="0" w:after="0" w:afterAutospacing="0"/>
        <w:ind w:firstLine="567"/>
        <w:jc w:val="both"/>
        <w:textAlignment w:val="baseline"/>
        <w:rPr>
          <w:rStyle w:val="normaltextrun"/>
          <w:rFonts w:asciiTheme="minorHAnsi" w:hAnsiTheme="minorHAnsi" w:cstheme="minorHAnsi"/>
          <w:sz w:val="22"/>
          <w:szCs w:val="22"/>
        </w:rPr>
      </w:pPr>
      <w:r w:rsidRPr="00B5710E">
        <w:rPr>
          <w:rStyle w:val="normaltextrun"/>
          <w:rFonts w:asciiTheme="minorHAnsi" w:hAnsiTheme="minorHAnsi" w:cstheme="minorHAnsi"/>
          <w:sz w:val="22"/>
          <w:szCs w:val="22"/>
        </w:rPr>
        <w:t xml:space="preserve">Pagal Įstatymo 40 straipsnio 1 dalies 5 punktą (2021 m. balandžio 29 d. įstatymo Nr. XIV-283 redakcija) </w:t>
      </w:r>
      <w:r w:rsidRPr="00B5710E">
        <w:rPr>
          <w:rStyle w:val="normaltextrun"/>
          <w:rFonts w:asciiTheme="minorHAnsi" w:hAnsiTheme="minorHAnsi" w:cstheme="minorHAnsi"/>
          <w:sz w:val="22"/>
          <w:szCs w:val="22"/>
          <w:u w:val="single"/>
        </w:rPr>
        <w:t>leidimų nešiotis ir leidimų laikyti šio įstatymo 3 straipsnio 6–10 punktuose nurodytus ginklus, B, C kategorijų ginklus galiojimas panaikinamas atsiradus šio įstatymo &lt;...&gt; 18 straipsnio 2 dalyje</w:t>
      </w:r>
      <w:r w:rsidRPr="00B5710E">
        <w:rPr>
          <w:rStyle w:val="normaltextrun"/>
          <w:rFonts w:asciiTheme="minorHAnsi" w:hAnsiTheme="minorHAnsi" w:cstheme="minorHAnsi"/>
          <w:sz w:val="22"/>
          <w:szCs w:val="22"/>
        </w:rPr>
        <w:t xml:space="preserve">, išskyrus 18 straipsnio 2 dalies 9 punktą, </w:t>
      </w:r>
      <w:r w:rsidRPr="00B5710E">
        <w:rPr>
          <w:rStyle w:val="normaltextrun"/>
          <w:rFonts w:asciiTheme="minorHAnsi" w:hAnsiTheme="minorHAnsi" w:cstheme="minorHAnsi"/>
          <w:sz w:val="22"/>
          <w:szCs w:val="22"/>
          <w:u w:val="single"/>
        </w:rPr>
        <w:t>numatytoms sąlygoms</w:t>
      </w:r>
      <w:r w:rsidRPr="00B5710E">
        <w:rPr>
          <w:rStyle w:val="normaltextrun"/>
          <w:rFonts w:asciiTheme="minorHAnsi" w:hAnsiTheme="minorHAnsi" w:cstheme="minorHAnsi"/>
          <w:sz w:val="22"/>
          <w:szCs w:val="22"/>
        </w:rPr>
        <w:t xml:space="preserve">. Įstatymo 18 straipsnio 2 dalies 5 punkte įtvirtinta, kad nepriekaištingos reputacijos asmeniu nelaikomas asmuo, įsiteisėjusiu teismo nuosprendžiu pripažintas padaręs nusikaltimą, susijusį su disponavimu ginklais, šaudmenimis, sprogmenimis, sprogstamosiomis ar radioaktyviosiomis medžiagomis arba karine įranga, už kurį BK numatyta didžiausia bausmė viršija 3 metus laisvės atėmimo, ir po asmens teistumo išnykimo arba panaikinimo nepraėjo 15 metų. Įstatymo 18 straipsnio 2 dalies 7 punkte nurodyta, kad </w:t>
      </w:r>
      <w:r w:rsidRPr="00B5710E">
        <w:rPr>
          <w:rStyle w:val="normaltextrun"/>
          <w:rFonts w:asciiTheme="minorHAnsi" w:hAnsiTheme="minorHAnsi" w:cstheme="minorHAnsi"/>
          <w:sz w:val="22"/>
          <w:szCs w:val="22"/>
          <w:u w:val="single"/>
        </w:rPr>
        <w:t>nepriekaištingos reputacijos asmeniu nelaikomas asmuo, dėl šios dalies 1–5 punktuose nurodytų nusikaltimų &lt;...&gt; atleistas nuo baudžiamosios atsakomybės BK nustatytais pagrindais ir nuo atleidimo nuo baudžiamosios atsakomybės dienos nepraėjo 3 metai</w:t>
      </w:r>
      <w:r w:rsidRPr="00B5710E">
        <w:rPr>
          <w:rStyle w:val="normaltextrun"/>
          <w:rFonts w:asciiTheme="minorHAnsi" w:hAnsiTheme="minorHAnsi" w:cstheme="minorHAnsi"/>
          <w:sz w:val="22"/>
          <w:szCs w:val="22"/>
        </w:rPr>
        <w:t>.</w:t>
      </w:r>
    </w:p>
    <w:p w14:paraId="4629848F" w14:textId="5BAE57F2" w:rsidR="00B5710E" w:rsidRPr="00B5710E" w:rsidRDefault="00B5710E" w:rsidP="00B5710E">
      <w:pPr>
        <w:pStyle w:val="paragraph"/>
        <w:spacing w:before="0" w:beforeAutospacing="0" w:after="0" w:afterAutospacing="0"/>
        <w:ind w:firstLine="567"/>
        <w:jc w:val="both"/>
        <w:textAlignment w:val="baseline"/>
        <w:rPr>
          <w:rStyle w:val="normaltextrun"/>
          <w:rFonts w:asciiTheme="minorHAnsi" w:hAnsiTheme="minorHAnsi" w:cstheme="minorHAnsi"/>
          <w:sz w:val="22"/>
          <w:szCs w:val="22"/>
        </w:rPr>
      </w:pPr>
      <w:r w:rsidRPr="00B5710E">
        <w:rPr>
          <w:rStyle w:val="normaltextrun"/>
          <w:rFonts w:asciiTheme="minorHAnsi" w:hAnsiTheme="minorHAnsi" w:cstheme="minorHAnsi"/>
          <w:sz w:val="22"/>
          <w:szCs w:val="22"/>
        </w:rPr>
        <w:t>Teisėjų kolegija pabrėžė, kad Įstatyme yra išsamiai diferencijuotos sąlygos bei nustatytas platus ratas atvejų, kada asmeniui gali būti panaikintas leidimas nešiotis ir laikyti B, C kategorijų ginklus bei šaudmenis. Kartu aiškiai įtvirtinta įstatymų leidėjo valia nepriekaištingos reputacijos asmenimis nelaikyti asmenų, kurie dėl 18</w:t>
      </w:r>
      <w:r w:rsidR="00A8058F">
        <w:rPr>
          <w:rStyle w:val="normaltextrun"/>
          <w:rFonts w:asciiTheme="minorHAnsi" w:hAnsiTheme="minorHAnsi" w:cstheme="minorHAnsi"/>
          <w:sz w:val="22"/>
          <w:szCs w:val="22"/>
        </w:rPr>
        <w:t> </w:t>
      </w:r>
      <w:r w:rsidRPr="00B5710E">
        <w:rPr>
          <w:rStyle w:val="normaltextrun"/>
          <w:rFonts w:asciiTheme="minorHAnsi" w:hAnsiTheme="minorHAnsi" w:cstheme="minorHAnsi"/>
          <w:sz w:val="22"/>
          <w:szCs w:val="22"/>
        </w:rPr>
        <w:t xml:space="preserve">straipsnio 2 dalies 1–5 punktuose nurodytų nusikaltimų buvo atleisti nuo baudžiamosios atsakomybės BK nustatytais pagrindais (jei nuo atleidimo nuo baudžiamosios atsakomybės dienos nepraėjo 3 metai). Įstatyme griežtai reglamentuotos aptariamos situacijos, neišskiriant konkrečių BK numatytų atleidimo nuo baudžiamosios </w:t>
      </w:r>
      <w:r w:rsidRPr="00B5710E">
        <w:rPr>
          <w:rStyle w:val="normaltextrun"/>
          <w:rFonts w:asciiTheme="minorHAnsi" w:hAnsiTheme="minorHAnsi" w:cstheme="minorHAnsi"/>
          <w:sz w:val="22"/>
          <w:szCs w:val="22"/>
        </w:rPr>
        <w:lastRenderedPageBreak/>
        <w:t>atsakomybės pagrindų. Taigi Įstatyme yra aiškiai įtvirtinta įstatymų leidėjo valia aptariamą teisinį reglamentavimą nustatyti ir asmenims, kurie atleisti nuo baudžiamosios atsakomybės dėl padarytos veikos mažareikšmiškumo.</w:t>
      </w:r>
    </w:p>
    <w:p w14:paraId="41CF326D" w14:textId="3113F0BA" w:rsidR="00B5710E" w:rsidRPr="00B5710E" w:rsidRDefault="00B5710E" w:rsidP="00B5710E">
      <w:pPr>
        <w:pStyle w:val="paragraph"/>
        <w:spacing w:before="0" w:beforeAutospacing="0" w:after="0" w:afterAutospacing="0"/>
        <w:ind w:firstLine="567"/>
        <w:jc w:val="both"/>
        <w:textAlignment w:val="baseline"/>
        <w:rPr>
          <w:rStyle w:val="normaltextrun"/>
          <w:rFonts w:asciiTheme="minorHAnsi" w:hAnsiTheme="minorHAnsi" w:cstheme="minorHAnsi"/>
          <w:sz w:val="22"/>
          <w:szCs w:val="22"/>
        </w:rPr>
      </w:pPr>
      <w:r w:rsidRPr="00B5710E">
        <w:rPr>
          <w:rStyle w:val="normaltextrun"/>
          <w:rFonts w:asciiTheme="minorHAnsi" w:hAnsiTheme="minorHAnsi" w:cstheme="minorHAnsi"/>
          <w:sz w:val="22"/>
          <w:szCs w:val="22"/>
        </w:rPr>
        <w:t xml:space="preserve">Iš Įstatymo 40 straipsnio 1 dalies 5 punkto turinio matyti, kad </w:t>
      </w:r>
      <w:r w:rsidRPr="00B5710E">
        <w:rPr>
          <w:rStyle w:val="normaltextrun"/>
          <w:rFonts w:asciiTheme="minorHAnsi" w:hAnsiTheme="minorHAnsi" w:cstheme="minorHAnsi"/>
          <w:sz w:val="22"/>
          <w:szCs w:val="22"/>
          <w:u w:val="single"/>
        </w:rPr>
        <w:t>reikalavimas panaikinti leidimą nešiotis ir laikyti B, C kategorijų ginklus ir šaudmenis, esant nagrinėtai sąlygai, yra išreikštas imperatyviai, t. y. nesuteikiant kompetentingam viešojo administravimo subjektui teisės priimti kitokio pobūdžio sprendimo</w:t>
      </w:r>
      <w:r w:rsidRPr="00B5710E">
        <w:rPr>
          <w:rStyle w:val="normaltextrun"/>
          <w:rFonts w:asciiTheme="minorHAnsi" w:hAnsiTheme="minorHAnsi" w:cstheme="minorHAnsi"/>
          <w:sz w:val="22"/>
          <w:szCs w:val="22"/>
        </w:rPr>
        <w:t xml:space="preserve">. Vadinasi, pagal Įstatyme įtvirtiną teisinį reguliavimą </w:t>
      </w:r>
      <w:r w:rsidRPr="00B5710E">
        <w:rPr>
          <w:rStyle w:val="normaltextrun"/>
          <w:rFonts w:asciiTheme="minorHAnsi" w:hAnsiTheme="minorHAnsi" w:cstheme="minorHAnsi"/>
          <w:sz w:val="22"/>
          <w:szCs w:val="22"/>
          <w:u w:val="single"/>
        </w:rPr>
        <w:t>Vilniaus AVPK, nustatęs Įstatymo 40 straipsnio 1 dalies 5 punkte, 18</w:t>
      </w:r>
      <w:r w:rsidR="00DC73A7">
        <w:rPr>
          <w:rStyle w:val="normaltextrun"/>
          <w:rFonts w:asciiTheme="minorHAnsi" w:hAnsiTheme="minorHAnsi" w:cstheme="minorHAnsi"/>
          <w:sz w:val="22"/>
          <w:szCs w:val="22"/>
          <w:u w:val="single"/>
        </w:rPr>
        <w:t> </w:t>
      </w:r>
      <w:r w:rsidRPr="00B5710E">
        <w:rPr>
          <w:rStyle w:val="normaltextrun"/>
          <w:rFonts w:asciiTheme="minorHAnsi" w:hAnsiTheme="minorHAnsi" w:cstheme="minorHAnsi"/>
          <w:sz w:val="22"/>
          <w:szCs w:val="22"/>
          <w:u w:val="single"/>
        </w:rPr>
        <w:t>straipsnio 2 dalies 7 punkte nustatytų sąlygų egzistavimą, neturi veiksmų laisvės vertinti nusikaltimo pobūdį, jo padarymo aplinkybes, individualią situaciją ar dar kokias nors sąlygas, išskyrus tas, kurios aptartos minėtose Įstatymo nuostatose</w:t>
      </w:r>
      <w:r w:rsidRPr="00B5710E">
        <w:rPr>
          <w:rStyle w:val="normaltextrun"/>
          <w:rFonts w:asciiTheme="minorHAnsi" w:hAnsiTheme="minorHAnsi" w:cstheme="minorHAnsi"/>
          <w:sz w:val="22"/>
          <w:szCs w:val="22"/>
        </w:rPr>
        <w:t>.</w:t>
      </w:r>
    </w:p>
    <w:p w14:paraId="44CE4D39" w14:textId="6506CA76" w:rsidR="00B5710E" w:rsidRPr="00B5710E" w:rsidRDefault="00B5710E" w:rsidP="00B5710E">
      <w:pPr>
        <w:pStyle w:val="paragraph"/>
        <w:spacing w:before="0" w:beforeAutospacing="0" w:after="0" w:afterAutospacing="0"/>
        <w:ind w:firstLine="567"/>
        <w:jc w:val="both"/>
        <w:textAlignment w:val="baseline"/>
        <w:rPr>
          <w:rStyle w:val="normaltextrun"/>
          <w:rFonts w:asciiTheme="minorHAnsi" w:hAnsiTheme="minorHAnsi" w:cstheme="minorHAnsi"/>
          <w:sz w:val="22"/>
          <w:szCs w:val="22"/>
        </w:rPr>
      </w:pPr>
      <w:r w:rsidRPr="00B5710E">
        <w:rPr>
          <w:rStyle w:val="normaltextrun"/>
          <w:rFonts w:asciiTheme="minorHAnsi" w:hAnsiTheme="minorHAnsi" w:cstheme="minorHAnsi"/>
          <w:sz w:val="22"/>
          <w:szCs w:val="22"/>
        </w:rPr>
        <w:t>Nustatytas faktines aplinkybes įvertinus paminėto teisinio reguliavimo kontekste, konstatuota, jog nepaisant to, kad pareiškėjas įsiteisėjusiu teismo nuosprendžiu BK 37 straipsnio pagrindu yra atleistas nuo baudžiamosios atsakomybės pagal BK 253 straipsnio 1 dalį, jis atitinka Įstatymo 18 straipsnio 2 dalies 7 punkte nustatytą sąlygą, todėl jis nelaikytinas nepriekaištingos reputacijos asmeniu. Daryta išvada, kad nagrinėtu atveju buvo pakankamas teisinis ir faktinis pagrindas panaikinti pareiškėjui išduotą leidimą laikyti (nešiotis) ginklus.</w:t>
      </w:r>
    </w:p>
    <w:p w14:paraId="39756471" w14:textId="5092083A" w:rsidR="00B5710E" w:rsidRPr="00B5710E" w:rsidRDefault="00B5710E" w:rsidP="00B5710E">
      <w:pPr>
        <w:pStyle w:val="paragraph"/>
        <w:spacing w:before="0" w:beforeAutospacing="0" w:after="0" w:afterAutospacing="0"/>
        <w:ind w:firstLine="567"/>
        <w:jc w:val="both"/>
        <w:textAlignment w:val="baseline"/>
        <w:rPr>
          <w:rStyle w:val="normaltextrun"/>
          <w:rFonts w:asciiTheme="minorHAnsi" w:hAnsiTheme="minorHAnsi" w:cstheme="minorHAnsi"/>
          <w:sz w:val="22"/>
          <w:szCs w:val="22"/>
        </w:rPr>
      </w:pPr>
      <w:r w:rsidRPr="00B5710E">
        <w:rPr>
          <w:rStyle w:val="normaltextrun"/>
          <w:rFonts w:asciiTheme="minorHAnsi" w:hAnsiTheme="minorHAnsi" w:cstheme="minorHAnsi"/>
          <w:sz w:val="22"/>
          <w:szCs w:val="22"/>
        </w:rPr>
        <w:t>Teisėjų kolegija sprendė, kad pirmosios instancijos teismas, konstatuodamas, jog pareiškėjui išduoto leidimo laikyti (nešiotis) ginklus panaikinimas būtų neproporcinga priemonė, ir atsižvelgdamas į BK 37 straipsnio nuostatas, Vilniaus apygardos teismo nuosprendį baudžiamojoje byloje, Įstatymo 1 straipsnio 1 dalyje įtvirtintą Įstatymo tikslą ir Konstitucijoje įtvirtintą proporcingumo principą, nepaisė Įstatyme įtvirtintos įstatymų leidėjo valios ir iš esmės pritaikė neformalųjį teisingumą.</w:t>
      </w:r>
    </w:p>
    <w:p w14:paraId="679B09A2" w14:textId="77777777" w:rsidR="00B5710E" w:rsidRPr="00B5710E" w:rsidRDefault="00B5710E" w:rsidP="00B5710E">
      <w:pPr>
        <w:pStyle w:val="paragraph"/>
        <w:spacing w:before="0" w:beforeAutospacing="0" w:after="0" w:afterAutospacing="0"/>
        <w:ind w:firstLine="567"/>
        <w:jc w:val="both"/>
        <w:textAlignment w:val="baseline"/>
        <w:rPr>
          <w:rStyle w:val="normaltextrun"/>
          <w:rFonts w:asciiTheme="minorHAnsi" w:hAnsiTheme="minorHAnsi" w:cstheme="minorHAnsi"/>
          <w:sz w:val="22"/>
          <w:szCs w:val="22"/>
        </w:rPr>
      </w:pPr>
      <w:r w:rsidRPr="00B5710E">
        <w:rPr>
          <w:rStyle w:val="normaltextrun"/>
          <w:rFonts w:asciiTheme="minorHAnsi" w:hAnsiTheme="minorHAnsi" w:cstheme="minorHAnsi"/>
          <w:sz w:val="22"/>
          <w:szCs w:val="22"/>
        </w:rPr>
        <w:t>LVAT darė išvadą, jog pirmosios instancijos teismas pagrįstai panaikino Komisijos sprendimą, tačiau nepagrįstai panaikino Vilniaus AVPK sprendimą. Atsižvelgus į tai, atsakovo apeliacinis skundas tenkintas iš dalies, pirmosios instancijos teismo sprendimas pakeistas.</w:t>
      </w:r>
    </w:p>
    <w:p w14:paraId="41CD69BD" w14:textId="77777777" w:rsidR="00B5710E" w:rsidRPr="00B5710E" w:rsidRDefault="00B5710E" w:rsidP="00B5710E">
      <w:pPr>
        <w:pStyle w:val="paragraph"/>
        <w:spacing w:before="0" w:beforeAutospacing="0" w:after="0" w:afterAutospacing="0"/>
        <w:ind w:firstLine="567"/>
        <w:jc w:val="both"/>
        <w:textAlignment w:val="baseline"/>
        <w:rPr>
          <w:rStyle w:val="normaltextrun"/>
          <w:rFonts w:asciiTheme="minorHAnsi" w:hAnsiTheme="minorHAnsi" w:cstheme="minorHAnsi"/>
          <w:sz w:val="22"/>
          <w:szCs w:val="22"/>
        </w:rPr>
      </w:pPr>
    </w:p>
    <w:p w14:paraId="005E41FE" w14:textId="77777777" w:rsidR="00B5710E" w:rsidRPr="00B5710E" w:rsidRDefault="00B5710E" w:rsidP="00B5710E">
      <w:pPr>
        <w:pStyle w:val="paragraph"/>
        <w:spacing w:before="0" w:beforeAutospacing="0" w:after="0" w:afterAutospacing="0"/>
        <w:jc w:val="both"/>
        <w:textAlignment w:val="baseline"/>
        <w:rPr>
          <w:rStyle w:val="normaltextrun"/>
          <w:rFonts w:asciiTheme="minorHAnsi" w:hAnsiTheme="minorHAnsi" w:cstheme="minorHAnsi"/>
          <w:sz w:val="22"/>
          <w:szCs w:val="22"/>
        </w:rPr>
      </w:pPr>
      <w:r w:rsidRPr="00B5710E">
        <w:rPr>
          <w:rStyle w:val="normaltextrun"/>
          <w:rFonts w:asciiTheme="minorHAnsi" w:hAnsiTheme="minorHAnsi" w:cstheme="minorHAnsi"/>
          <w:sz w:val="22"/>
          <w:szCs w:val="22"/>
        </w:rPr>
        <w:t>2024 m. lapkričio 27 d. nutartis administracinėje byloje Nr. eA-736-968/2024</w:t>
      </w:r>
    </w:p>
    <w:p w14:paraId="3B1667F1" w14:textId="77777777" w:rsidR="00B5710E" w:rsidRPr="00B5710E" w:rsidRDefault="00B5710E" w:rsidP="00B5710E">
      <w:pPr>
        <w:pStyle w:val="paragraph"/>
        <w:spacing w:before="0" w:beforeAutospacing="0" w:after="0" w:afterAutospacing="0"/>
        <w:jc w:val="both"/>
        <w:textAlignment w:val="baseline"/>
        <w:rPr>
          <w:rStyle w:val="normaltextrun"/>
          <w:rFonts w:asciiTheme="minorHAnsi" w:hAnsiTheme="minorHAnsi" w:cstheme="minorHAnsi"/>
          <w:sz w:val="22"/>
          <w:szCs w:val="22"/>
        </w:rPr>
      </w:pPr>
      <w:r w:rsidRPr="00B5710E">
        <w:rPr>
          <w:rStyle w:val="normaltextrun"/>
          <w:rFonts w:asciiTheme="minorHAnsi" w:hAnsiTheme="minorHAnsi" w:cstheme="minorHAnsi"/>
          <w:sz w:val="22"/>
          <w:szCs w:val="22"/>
        </w:rPr>
        <w:t>Teisminio proceso Nr. 3-61-3-06294-2023-1</w:t>
      </w:r>
    </w:p>
    <w:p w14:paraId="659E6B02" w14:textId="77777777" w:rsidR="00B5710E" w:rsidRPr="00B5710E" w:rsidRDefault="00B5710E" w:rsidP="00B5710E">
      <w:pPr>
        <w:rPr>
          <w:rFonts w:asciiTheme="minorHAnsi" w:hAnsiTheme="minorHAnsi" w:cstheme="minorHAnsi"/>
          <w:sz w:val="22"/>
          <w:szCs w:val="22"/>
          <w:lang w:eastAsia="en-GB"/>
        </w:rPr>
      </w:pPr>
      <w:hyperlink r:id="rId27" w:history="1">
        <w:r w:rsidRPr="00B5710E">
          <w:rPr>
            <w:rStyle w:val="Hyperlink"/>
            <w:rFonts w:asciiTheme="minorHAnsi" w:hAnsiTheme="minorHAnsi" w:cstheme="minorHAnsi"/>
            <w:sz w:val="22"/>
            <w:szCs w:val="22"/>
            <w:lang w:eastAsia="en-GB"/>
          </w:rPr>
          <w:t>Prieiga internete</w:t>
        </w:r>
      </w:hyperlink>
    </w:p>
    <w:p w14:paraId="0FE0A137" w14:textId="77777777" w:rsidR="00B5710E" w:rsidRPr="003756A5" w:rsidRDefault="00B5710E" w:rsidP="00A32A5C">
      <w:pPr>
        <w:ind w:firstLine="567"/>
        <w:rPr>
          <w:rFonts w:asciiTheme="minorHAnsi" w:hAnsiTheme="minorHAnsi" w:cstheme="minorHAnsi"/>
          <w:sz w:val="22"/>
          <w:szCs w:val="22"/>
        </w:rPr>
      </w:pPr>
    </w:p>
    <w:p w14:paraId="7042DABF" w14:textId="77777777" w:rsidR="00890327" w:rsidRPr="003756A5" w:rsidRDefault="00890327" w:rsidP="00890327">
      <w:pPr>
        <w:pStyle w:val="Apzvalgai1"/>
        <w:rPr>
          <w:rFonts w:asciiTheme="minorHAnsi" w:hAnsiTheme="minorHAnsi" w:cstheme="minorHAnsi"/>
        </w:rPr>
      </w:pPr>
      <w:bookmarkStart w:id="47" w:name="_Toc774949"/>
      <w:bookmarkStart w:id="48" w:name="_Toc187075157"/>
      <w:r w:rsidRPr="003756A5">
        <w:rPr>
          <w:rFonts w:asciiTheme="minorHAnsi" w:hAnsiTheme="minorHAnsi" w:cstheme="minorHAnsi"/>
        </w:rPr>
        <w:t>41. Kiti ginčai viešojo administravimo srityje</w:t>
      </w:r>
      <w:bookmarkEnd w:id="47"/>
      <w:bookmarkEnd w:id="48"/>
    </w:p>
    <w:p w14:paraId="4FCED4CF" w14:textId="77777777" w:rsidR="00890327" w:rsidRPr="003756A5" w:rsidRDefault="00890327" w:rsidP="00890327">
      <w:pPr>
        <w:ind w:firstLine="567"/>
        <w:jc w:val="both"/>
        <w:rPr>
          <w:rFonts w:asciiTheme="minorHAnsi" w:hAnsiTheme="minorHAnsi" w:cstheme="minorHAnsi"/>
          <w:sz w:val="22"/>
          <w:szCs w:val="22"/>
        </w:rPr>
      </w:pPr>
    </w:p>
    <w:p w14:paraId="78C9850E" w14:textId="687D1AAF" w:rsidR="007A22BA" w:rsidRDefault="00783C1A" w:rsidP="007A22BA">
      <w:pPr>
        <w:jc w:val="both"/>
        <w:rPr>
          <w:rFonts w:asciiTheme="minorHAnsi" w:eastAsia="Calibri" w:hAnsiTheme="minorHAnsi" w:cstheme="minorHAnsi"/>
          <w:i/>
          <w:sz w:val="22"/>
          <w:szCs w:val="22"/>
        </w:rPr>
      </w:pPr>
      <w:r w:rsidRPr="00783C1A">
        <w:rPr>
          <w:rFonts w:asciiTheme="minorHAnsi" w:eastAsia="Calibri" w:hAnsiTheme="minorHAnsi" w:cstheme="minorHAnsi"/>
          <w:i/>
          <w:sz w:val="22"/>
          <w:szCs w:val="22"/>
        </w:rPr>
        <w:t>Dėl programėlėje „Tvarkau Vilnių“ pateikto pranešimo pripažinimo prašymu Viešojo administravimo įstatymo prasme</w:t>
      </w:r>
    </w:p>
    <w:p w14:paraId="13636FF9" w14:textId="77777777" w:rsidR="00783C1A" w:rsidRPr="00A8543D" w:rsidRDefault="00783C1A" w:rsidP="007A22BA">
      <w:pPr>
        <w:jc w:val="both"/>
        <w:rPr>
          <w:rFonts w:asciiTheme="minorHAnsi" w:hAnsiTheme="minorHAnsi" w:cstheme="minorHAnsi"/>
          <w:sz w:val="22"/>
          <w:szCs w:val="22"/>
        </w:rPr>
      </w:pPr>
    </w:p>
    <w:p w14:paraId="660262CB" w14:textId="5588E86D" w:rsidR="007A22BA" w:rsidRPr="007A22BA" w:rsidRDefault="007A22BA" w:rsidP="007A22BA">
      <w:pPr>
        <w:ind w:firstLine="567"/>
        <w:jc w:val="both"/>
        <w:rPr>
          <w:rFonts w:asciiTheme="minorHAnsi" w:hAnsiTheme="minorHAnsi" w:cstheme="minorHAnsi"/>
          <w:sz w:val="22"/>
          <w:szCs w:val="22"/>
        </w:rPr>
      </w:pPr>
      <w:r w:rsidRPr="007A22BA">
        <w:rPr>
          <w:rFonts w:asciiTheme="minorHAnsi" w:hAnsiTheme="minorHAnsi" w:cstheme="minorHAnsi"/>
          <w:sz w:val="22"/>
          <w:szCs w:val="22"/>
        </w:rPr>
        <w:t>Byloje nagrinėtas ginčas dėl Vilniaus miesto savivaldybės administracijos (toliau – Administracija) atsakymo į pareiškėjo programėlėje „Tvarkau Vilnių“ pateiktą prašymą pagrįstumo ir teisėtumo.</w:t>
      </w:r>
    </w:p>
    <w:p w14:paraId="0494F791" w14:textId="77777777" w:rsidR="007A22BA" w:rsidRPr="007A22BA" w:rsidRDefault="007A22BA" w:rsidP="007A22BA">
      <w:pPr>
        <w:ind w:firstLine="567"/>
        <w:jc w:val="both"/>
        <w:rPr>
          <w:rFonts w:asciiTheme="minorHAnsi" w:hAnsiTheme="minorHAnsi" w:cstheme="minorHAnsi"/>
          <w:sz w:val="22"/>
          <w:szCs w:val="22"/>
        </w:rPr>
      </w:pPr>
      <w:r w:rsidRPr="007A22BA">
        <w:rPr>
          <w:rFonts w:asciiTheme="minorHAnsi" w:hAnsiTheme="minorHAnsi" w:cstheme="minorHAnsi"/>
          <w:sz w:val="22"/>
          <w:szCs w:val="22"/>
        </w:rPr>
        <w:t xml:space="preserve">Pareiškėjas programėlėje „Tvarkau Vilnių“ paprašė jį informuoti, ar buvo užfiksuoti faktai dėl perėjos nevalymo. Administracijos atsakingas padalinys šioje programėlėje pateikė pareiškėjui atsakymą, kad informacija buvo perduota teritoriją tvarkančios įmonės atstovams, o perėja ir šaligatviai nuvalyti. Administracija byloje siekė įrodyti, jog programėlė „Tvarkau Vilnių“ nėra asmenų prašymų ar skundų teikimo būdas, todėl šioje programėlėje pateikiami pranešimai negali būti laikomi prašymais ar skundas VAĮ prasme. Administracijos vertinimu, programėlės naudotojai neturi </w:t>
      </w:r>
      <w:bookmarkStart w:id="49" w:name="_Hlk182383667"/>
      <w:r w:rsidRPr="007A22BA">
        <w:rPr>
          <w:rFonts w:asciiTheme="minorHAnsi" w:hAnsiTheme="minorHAnsi" w:cstheme="minorHAnsi"/>
          <w:sz w:val="22"/>
          <w:szCs w:val="22"/>
        </w:rPr>
        <w:t>teisinio pagrindo reikalauti, kad šia mobiliąja aplikacija jiems būtų pateikiami VAĮ reikalavimus atitinkantys atsakymai</w:t>
      </w:r>
      <w:bookmarkEnd w:id="49"/>
      <w:r w:rsidRPr="007A22BA">
        <w:rPr>
          <w:rFonts w:asciiTheme="minorHAnsi" w:hAnsiTheme="minorHAnsi" w:cstheme="minorHAnsi"/>
          <w:sz w:val="22"/>
          <w:szCs w:val="22"/>
        </w:rPr>
        <w:t>.</w:t>
      </w:r>
    </w:p>
    <w:p w14:paraId="61EA25C7" w14:textId="194908FB" w:rsidR="007A22BA" w:rsidRPr="007A22BA" w:rsidRDefault="007A22BA" w:rsidP="007A22BA">
      <w:pPr>
        <w:ind w:firstLine="567"/>
        <w:jc w:val="both"/>
        <w:rPr>
          <w:rFonts w:asciiTheme="minorHAnsi" w:hAnsiTheme="minorHAnsi" w:cstheme="minorHAnsi"/>
          <w:sz w:val="22"/>
          <w:szCs w:val="22"/>
        </w:rPr>
      </w:pPr>
      <w:r w:rsidRPr="007A22BA">
        <w:rPr>
          <w:rFonts w:asciiTheme="minorHAnsi" w:hAnsiTheme="minorHAnsi" w:cstheme="minorHAnsi"/>
          <w:sz w:val="22"/>
          <w:szCs w:val="22"/>
        </w:rPr>
        <w:t xml:space="preserve">Lietuvos administracinių ginčų komisija įpareigojo Administraciją parengti atsakymą į pareiškėjo programėlėje pateiktą </w:t>
      </w:r>
      <w:r w:rsidR="00EF3A3B">
        <w:rPr>
          <w:rFonts w:asciiTheme="minorHAnsi" w:hAnsiTheme="minorHAnsi" w:cstheme="minorHAnsi"/>
          <w:sz w:val="22"/>
          <w:szCs w:val="22"/>
        </w:rPr>
        <w:t>praš</w:t>
      </w:r>
      <w:r w:rsidRPr="007A22BA">
        <w:rPr>
          <w:rFonts w:asciiTheme="minorHAnsi" w:hAnsiTheme="minorHAnsi" w:cstheme="minorHAnsi"/>
          <w:sz w:val="22"/>
          <w:szCs w:val="22"/>
        </w:rPr>
        <w:t>ymą, o pirmosios instancijos teismas atmetė Administracijos skundą dėl šio komisijos sprendimo. Nesutikdama su teismo sprendimu, Administracija padavė apeliacinį skundą.</w:t>
      </w:r>
    </w:p>
    <w:p w14:paraId="6EB834A8" w14:textId="0D36B18B" w:rsidR="007A22BA" w:rsidRPr="007A22BA" w:rsidRDefault="007A22BA" w:rsidP="007A22BA">
      <w:pPr>
        <w:ind w:firstLine="567"/>
        <w:jc w:val="both"/>
        <w:rPr>
          <w:rFonts w:asciiTheme="minorHAnsi" w:hAnsiTheme="minorHAnsi" w:cstheme="minorHAnsi"/>
          <w:sz w:val="22"/>
          <w:szCs w:val="22"/>
        </w:rPr>
      </w:pPr>
      <w:r w:rsidRPr="007A22BA">
        <w:rPr>
          <w:rFonts w:asciiTheme="minorHAnsi" w:hAnsiTheme="minorHAnsi" w:cstheme="minorHAnsi"/>
          <w:sz w:val="22"/>
          <w:szCs w:val="22"/>
        </w:rPr>
        <w:t xml:space="preserve">LVAT, įvertinęs reikšmingą teisinį reguliavimą, nusprendė, jog </w:t>
      </w:r>
      <w:r w:rsidR="008765E0" w:rsidRPr="007A22BA">
        <w:rPr>
          <w:rFonts w:asciiTheme="minorHAnsi" w:hAnsiTheme="minorHAnsi" w:cstheme="minorHAnsi"/>
          <w:sz w:val="22"/>
          <w:szCs w:val="22"/>
        </w:rPr>
        <w:t xml:space="preserve">pareiškėjo </w:t>
      </w:r>
      <w:r w:rsidRPr="008765E0">
        <w:rPr>
          <w:rFonts w:asciiTheme="minorHAnsi" w:hAnsiTheme="minorHAnsi" w:cstheme="minorHAnsi"/>
          <w:sz w:val="22"/>
          <w:szCs w:val="22"/>
          <w:u w:val="single"/>
        </w:rPr>
        <w:t>programėlėje „Tvarkau Vilnių“ pateiktas pranešimas VAĮ prasme gali būti laikomas prašymu, t. y. su asmens teisių ar teisėtų interesų pažeidimu nesusijusiu asmens kreipimusi į viešojo administravimo subjektą prašant atlikti teisės aktuose nustatytus veiksmus</w:t>
      </w:r>
      <w:r w:rsidRPr="007A22BA">
        <w:rPr>
          <w:rFonts w:asciiTheme="minorHAnsi" w:hAnsiTheme="minorHAnsi" w:cstheme="minorHAnsi"/>
          <w:sz w:val="22"/>
          <w:szCs w:val="22"/>
        </w:rPr>
        <w:t>. Nagrinėtu atveju pareiškėjas prašė suteikti jam duomenis apie viešojo administravimo subjekto veiklą. Atsižvelgęs į nuostatas dėl teisės gauti informaciją iš viešojo administravimo subjektų, LVAT pažymėjo, jog asmenų prašymai, kuriuos viešojo administravimo subjektai nagrinėja pagal Vyriausybės patvirtintas taisykles, gali būti teikiami ir elektroninių ryšių priemonėmis, kurias pasirenka ir viešajai komunikacijai arba asmenų aptarnavimui naudoja atitinkama institucija.</w:t>
      </w:r>
    </w:p>
    <w:p w14:paraId="2BC90A6B" w14:textId="77777777" w:rsidR="007A22BA" w:rsidRPr="007A22BA" w:rsidRDefault="007A22BA" w:rsidP="007A22BA">
      <w:pPr>
        <w:ind w:firstLine="567"/>
        <w:jc w:val="both"/>
        <w:rPr>
          <w:rFonts w:asciiTheme="minorHAnsi" w:hAnsiTheme="minorHAnsi" w:cstheme="minorHAnsi"/>
          <w:sz w:val="22"/>
          <w:szCs w:val="22"/>
        </w:rPr>
      </w:pPr>
      <w:r w:rsidRPr="007A22BA">
        <w:rPr>
          <w:rFonts w:asciiTheme="minorHAnsi" w:hAnsiTheme="minorHAnsi" w:cstheme="minorHAnsi"/>
          <w:sz w:val="22"/>
          <w:szCs w:val="22"/>
        </w:rPr>
        <w:lastRenderedPageBreak/>
        <w:t>LVAT pažymėjo, jog VAĮ prasme Administracija per programėlę „Tvarkau Vilnių“ viešai komunikuoja su Vilniaus miesto savivaldybės gyventojais ir tiek, kiek tai susiję su viešųjų paslaugų teikimu – aplinkos tvarkymu, o ši programėlė priskirtina prie Administracijos naudojamų informacinių technologijų, todėl ji pripažintina Administracijos asmenų aptarnavimui naudojama elektroninių ryšių priemone. LVAT vertinimu, byloje nenustatytas pagrindas spręsti, kad pareiškėjo elektroninio kreipimosi į Administraciją išnagrinėjimas ir atsakymo pareiškėjui pateikimas neturi asmens aptarnavimo požymių. Kadangi pareiškėjas pateiktu prašymu neprašė nuvalyti perėjos, o prašė suteikti informaciją, ar užfiksuoti faktai dėl perėjos nevalymo, pripažinta, jog pareiškėjo prašymas nebuvo tinkamai išnagrinėtas. Todėl Administracijai kyla pareiga pakartotinai išnagrinėti pareiškėjo prašymą ir pateikti teisės aktų reikalavimus atitinkantį motyvuotą atsakymą.</w:t>
      </w:r>
    </w:p>
    <w:p w14:paraId="5AA1683C" w14:textId="77777777" w:rsidR="007A22BA" w:rsidRPr="007A22BA" w:rsidRDefault="007A22BA" w:rsidP="007A22BA">
      <w:pPr>
        <w:ind w:firstLine="567"/>
        <w:jc w:val="both"/>
        <w:rPr>
          <w:rFonts w:asciiTheme="minorHAnsi" w:hAnsiTheme="minorHAnsi" w:cstheme="minorHAnsi"/>
          <w:sz w:val="22"/>
          <w:szCs w:val="22"/>
        </w:rPr>
      </w:pPr>
      <w:r w:rsidRPr="007A22BA">
        <w:rPr>
          <w:rFonts w:asciiTheme="minorHAnsi" w:hAnsiTheme="minorHAnsi" w:cstheme="minorHAnsi"/>
          <w:sz w:val="22"/>
          <w:szCs w:val="22"/>
        </w:rPr>
        <w:t>Administracijos apeliacinis skundas atmestas, o skundžiamas pirmosios instancijos teismo sprendimas paliktas nepakeistas.</w:t>
      </w:r>
    </w:p>
    <w:p w14:paraId="7D28BCEE" w14:textId="77777777" w:rsidR="007A22BA" w:rsidRPr="007A22BA" w:rsidRDefault="007A22BA" w:rsidP="007A22BA">
      <w:pPr>
        <w:jc w:val="both"/>
        <w:rPr>
          <w:rFonts w:asciiTheme="minorHAnsi" w:hAnsiTheme="minorHAnsi" w:cstheme="minorHAnsi"/>
          <w:sz w:val="22"/>
          <w:szCs w:val="22"/>
        </w:rPr>
      </w:pPr>
    </w:p>
    <w:p w14:paraId="1EE4EF53" w14:textId="77777777" w:rsidR="007A22BA" w:rsidRPr="007A22BA" w:rsidRDefault="007A22BA" w:rsidP="007A22BA">
      <w:pPr>
        <w:jc w:val="both"/>
        <w:rPr>
          <w:rFonts w:asciiTheme="minorHAnsi" w:hAnsiTheme="minorHAnsi" w:cstheme="minorHAnsi"/>
          <w:bCs/>
          <w:sz w:val="22"/>
          <w:szCs w:val="22"/>
        </w:rPr>
      </w:pPr>
      <w:r w:rsidRPr="007A22BA">
        <w:rPr>
          <w:rFonts w:asciiTheme="minorHAnsi" w:hAnsiTheme="minorHAnsi" w:cstheme="minorHAnsi"/>
          <w:bCs/>
          <w:sz w:val="22"/>
          <w:szCs w:val="22"/>
        </w:rPr>
        <w:t>2024 m. lapkričio 20 d. nutartis administracinėje byloje Nr. eA-709-968/2024</w:t>
      </w:r>
    </w:p>
    <w:p w14:paraId="4FBDF62E" w14:textId="77777777" w:rsidR="007A22BA" w:rsidRPr="007A22BA" w:rsidRDefault="007A22BA" w:rsidP="007A22BA">
      <w:pPr>
        <w:jc w:val="both"/>
        <w:rPr>
          <w:rFonts w:asciiTheme="minorHAnsi" w:hAnsiTheme="minorHAnsi" w:cstheme="minorHAnsi"/>
          <w:bCs/>
          <w:sz w:val="22"/>
          <w:szCs w:val="22"/>
        </w:rPr>
      </w:pPr>
      <w:r w:rsidRPr="007A22BA">
        <w:rPr>
          <w:rFonts w:asciiTheme="minorHAnsi" w:hAnsiTheme="minorHAnsi" w:cstheme="minorHAnsi"/>
          <w:bCs/>
          <w:sz w:val="22"/>
          <w:szCs w:val="22"/>
        </w:rPr>
        <w:t>Teisminio proceso Nr. 3-61-3-03691-2023-9</w:t>
      </w:r>
    </w:p>
    <w:p w14:paraId="459A10F0" w14:textId="77777777" w:rsidR="007A22BA" w:rsidRPr="007A22BA" w:rsidRDefault="007A22BA" w:rsidP="007A22BA">
      <w:pPr>
        <w:jc w:val="both"/>
        <w:rPr>
          <w:rFonts w:asciiTheme="minorHAnsi" w:hAnsiTheme="minorHAnsi" w:cstheme="minorHAnsi"/>
          <w:bCs/>
          <w:sz w:val="22"/>
          <w:szCs w:val="22"/>
        </w:rPr>
      </w:pPr>
      <w:hyperlink r:id="rId28" w:history="1">
        <w:r w:rsidRPr="007A22BA">
          <w:rPr>
            <w:rStyle w:val="Hyperlink"/>
            <w:rFonts w:asciiTheme="minorHAnsi" w:hAnsiTheme="minorHAnsi" w:cstheme="minorHAnsi"/>
            <w:bCs/>
            <w:sz w:val="22"/>
            <w:szCs w:val="22"/>
          </w:rPr>
          <w:t>Prieiga internete</w:t>
        </w:r>
      </w:hyperlink>
    </w:p>
    <w:p w14:paraId="36C8980D" w14:textId="75EC592B" w:rsidR="00890327" w:rsidRDefault="00890327" w:rsidP="004A1DC7">
      <w:pPr>
        <w:ind w:firstLine="567"/>
        <w:jc w:val="both"/>
        <w:rPr>
          <w:rFonts w:asciiTheme="minorHAnsi" w:hAnsiTheme="minorHAnsi" w:cstheme="minorHAnsi"/>
          <w:sz w:val="22"/>
          <w:szCs w:val="22"/>
        </w:rPr>
      </w:pPr>
    </w:p>
    <w:p w14:paraId="0B1DA189" w14:textId="77777777" w:rsidR="00046428" w:rsidRPr="003756A5" w:rsidRDefault="00046428" w:rsidP="00046428">
      <w:pPr>
        <w:pStyle w:val="Apzvalgai1"/>
        <w:rPr>
          <w:rFonts w:asciiTheme="minorHAnsi" w:hAnsiTheme="minorHAnsi" w:cstheme="minorHAnsi"/>
        </w:rPr>
      </w:pPr>
      <w:bookmarkStart w:id="50" w:name="_Toc187075158"/>
      <w:r w:rsidRPr="003756A5">
        <w:rPr>
          <w:rFonts w:asciiTheme="minorHAnsi" w:hAnsiTheme="minorHAnsi" w:cstheme="minorHAnsi"/>
        </w:rPr>
        <w:t>II. Administracinių bylų teisena</w:t>
      </w:r>
      <w:bookmarkEnd w:id="50"/>
    </w:p>
    <w:p w14:paraId="58CB5235" w14:textId="1C44C3E3" w:rsidR="00046428" w:rsidRPr="003756A5" w:rsidRDefault="00046428" w:rsidP="00A32A5C">
      <w:pPr>
        <w:ind w:firstLine="567"/>
        <w:rPr>
          <w:rFonts w:asciiTheme="minorHAnsi" w:hAnsiTheme="minorHAnsi" w:cstheme="minorHAnsi"/>
          <w:sz w:val="22"/>
          <w:szCs w:val="22"/>
        </w:rPr>
      </w:pPr>
    </w:p>
    <w:p w14:paraId="76D82CA6" w14:textId="77777777" w:rsidR="00A10C18" w:rsidRPr="003756A5" w:rsidRDefault="00A10C18" w:rsidP="00A10C18">
      <w:pPr>
        <w:pStyle w:val="Apzvalgai1"/>
        <w:rPr>
          <w:rFonts w:asciiTheme="minorHAnsi" w:hAnsiTheme="minorHAnsi" w:cstheme="minorHAnsi"/>
        </w:rPr>
      </w:pPr>
      <w:bookmarkStart w:id="51" w:name="_Toc187075159"/>
      <w:r w:rsidRPr="003756A5">
        <w:rPr>
          <w:rFonts w:asciiTheme="minorHAnsi" w:hAnsiTheme="minorHAnsi" w:cstheme="minorHAnsi"/>
        </w:rPr>
        <w:t>43. Teisė kreiptis į teismą ir jos realizavimas</w:t>
      </w:r>
      <w:bookmarkEnd w:id="51"/>
    </w:p>
    <w:p w14:paraId="04515723" w14:textId="77777777" w:rsidR="00E50CAF" w:rsidRPr="0089074F" w:rsidRDefault="00E50CAF" w:rsidP="00E50CAF">
      <w:pPr>
        <w:ind w:firstLine="567"/>
        <w:jc w:val="both"/>
        <w:rPr>
          <w:rFonts w:asciiTheme="minorHAnsi" w:hAnsiTheme="minorHAnsi" w:cstheme="minorHAnsi"/>
          <w:b/>
          <w:bCs/>
          <w:color w:val="000000"/>
          <w:sz w:val="22"/>
          <w:szCs w:val="22"/>
          <w:u w:val="single"/>
          <w:shd w:val="clear" w:color="auto" w:fill="FFFFFF"/>
        </w:rPr>
      </w:pPr>
      <w:r w:rsidRPr="0089074F">
        <w:rPr>
          <w:rFonts w:asciiTheme="minorHAnsi" w:hAnsiTheme="minorHAnsi" w:cstheme="minorHAnsi"/>
          <w:b/>
          <w:bCs/>
          <w:color w:val="000000"/>
          <w:sz w:val="22"/>
          <w:szCs w:val="22"/>
          <w:u w:val="single"/>
          <w:shd w:val="clear" w:color="auto" w:fill="FFFFFF"/>
        </w:rPr>
        <w:t>43.5. Atsisakymas priimti skundą</w:t>
      </w:r>
    </w:p>
    <w:p w14:paraId="3F889C54" w14:textId="77777777" w:rsidR="00E50CAF" w:rsidRPr="0089074F" w:rsidRDefault="00E50CAF" w:rsidP="00E50CAF">
      <w:pPr>
        <w:ind w:firstLine="1134"/>
        <w:jc w:val="both"/>
        <w:rPr>
          <w:rFonts w:asciiTheme="minorHAnsi" w:hAnsiTheme="minorHAnsi" w:cstheme="minorHAnsi"/>
          <w:color w:val="000000"/>
          <w:sz w:val="22"/>
          <w:szCs w:val="22"/>
          <w:shd w:val="clear" w:color="auto" w:fill="FFFFFF"/>
        </w:rPr>
      </w:pPr>
      <w:r w:rsidRPr="0089074F">
        <w:rPr>
          <w:rFonts w:asciiTheme="minorHAnsi" w:hAnsiTheme="minorHAnsi" w:cstheme="minorHAnsi"/>
          <w:b/>
          <w:bCs/>
          <w:color w:val="000000"/>
          <w:sz w:val="22"/>
          <w:szCs w:val="22"/>
          <w:u w:val="single"/>
          <w:shd w:val="clear" w:color="auto" w:fill="FFFFFF"/>
        </w:rPr>
        <w:t>43.5.1. Kai skundas nenagrinėtinas ABTĮ nustatyta tvarka</w:t>
      </w:r>
    </w:p>
    <w:p w14:paraId="76E20859" w14:textId="77777777" w:rsidR="00E50CAF" w:rsidRPr="0089074F" w:rsidRDefault="00E50CAF" w:rsidP="00FB6E00">
      <w:pPr>
        <w:ind w:firstLine="1701"/>
        <w:jc w:val="both"/>
        <w:rPr>
          <w:rFonts w:asciiTheme="minorHAnsi" w:hAnsiTheme="minorHAnsi" w:cstheme="minorHAnsi"/>
          <w:b/>
          <w:bCs/>
          <w:color w:val="000000"/>
          <w:sz w:val="22"/>
          <w:szCs w:val="22"/>
          <w:u w:val="single"/>
          <w:shd w:val="clear" w:color="auto" w:fill="FFFFFF"/>
        </w:rPr>
      </w:pPr>
      <w:r w:rsidRPr="0089074F">
        <w:rPr>
          <w:rFonts w:asciiTheme="minorHAnsi" w:hAnsiTheme="minorHAnsi" w:cstheme="minorHAnsi"/>
          <w:b/>
          <w:bCs/>
          <w:color w:val="000000"/>
          <w:sz w:val="22"/>
          <w:szCs w:val="22"/>
          <w:u w:val="single"/>
          <w:shd w:val="clear" w:color="auto" w:fill="FFFFFF"/>
        </w:rPr>
        <w:t>43.5.1.1. Aktai ar veiksmai, dėl kurių negalima pateikti skundo administraciniam teismui</w:t>
      </w:r>
    </w:p>
    <w:p w14:paraId="58672342" w14:textId="77777777" w:rsidR="00E50CAF" w:rsidRPr="002125B0" w:rsidRDefault="00E50CAF" w:rsidP="00E50CAF">
      <w:pPr>
        <w:jc w:val="both"/>
        <w:rPr>
          <w:rFonts w:asciiTheme="minorHAnsi" w:hAnsiTheme="minorHAnsi" w:cstheme="minorHAnsi"/>
          <w:color w:val="000000"/>
          <w:sz w:val="22"/>
          <w:szCs w:val="22"/>
          <w:highlight w:val="yellow"/>
          <w:shd w:val="clear" w:color="auto" w:fill="FFFFFF"/>
        </w:rPr>
      </w:pPr>
    </w:p>
    <w:p w14:paraId="07C08E98" w14:textId="77777777" w:rsidR="00E50CAF" w:rsidRPr="008B16C5" w:rsidRDefault="00E50CAF" w:rsidP="00E50CAF">
      <w:pPr>
        <w:jc w:val="both"/>
        <w:outlineLvl w:val="1"/>
        <w:rPr>
          <w:rFonts w:asciiTheme="minorHAnsi" w:eastAsia="Calibri" w:hAnsiTheme="minorHAnsi" w:cstheme="minorHAnsi"/>
          <w:i/>
          <w:sz w:val="22"/>
          <w:szCs w:val="22"/>
        </w:rPr>
      </w:pPr>
      <w:bookmarkStart w:id="52" w:name="_Toc187075160"/>
      <w:r w:rsidRPr="008B16C5">
        <w:rPr>
          <w:rFonts w:asciiTheme="minorHAnsi" w:eastAsia="Calibri" w:hAnsiTheme="minorHAnsi" w:cstheme="minorHAnsi"/>
          <w:i/>
          <w:sz w:val="22"/>
          <w:szCs w:val="22"/>
        </w:rPr>
        <w:t>Dėl savivaldybės tarybos sprendimo dėl mokyklų reorganizavimo vertinimo kaip individualaus administracinio akto</w:t>
      </w:r>
      <w:bookmarkEnd w:id="52"/>
    </w:p>
    <w:p w14:paraId="012B1B1D" w14:textId="77777777" w:rsidR="00E50CAF" w:rsidRPr="004742FC" w:rsidRDefault="00E50CAF" w:rsidP="00E50CAF">
      <w:pPr>
        <w:jc w:val="both"/>
        <w:rPr>
          <w:rFonts w:asciiTheme="minorHAnsi" w:hAnsiTheme="minorHAnsi" w:cstheme="minorHAnsi"/>
          <w:color w:val="000000"/>
          <w:sz w:val="22"/>
          <w:szCs w:val="22"/>
          <w:highlight w:val="yellow"/>
          <w:shd w:val="clear" w:color="auto" w:fill="FFFFFF"/>
        </w:rPr>
      </w:pPr>
    </w:p>
    <w:p w14:paraId="6DBBDC5B" w14:textId="5654998B" w:rsidR="00E50CAF" w:rsidRDefault="00E50CAF" w:rsidP="00E50CAF">
      <w:pPr>
        <w:ind w:firstLine="567"/>
        <w:jc w:val="both"/>
        <w:rPr>
          <w:rFonts w:asciiTheme="minorHAnsi" w:hAnsiTheme="minorHAnsi" w:cstheme="minorHAnsi"/>
          <w:color w:val="000000"/>
          <w:sz w:val="22"/>
          <w:szCs w:val="22"/>
          <w:shd w:val="clear" w:color="auto" w:fill="FFFFFF"/>
        </w:rPr>
      </w:pPr>
      <w:r w:rsidRPr="008B16C5">
        <w:rPr>
          <w:rFonts w:asciiTheme="minorHAnsi" w:hAnsiTheme="minorHAnsi" w:cstheme="minorHAnsi"/>
          <w:color w:val="000000"/>
          <w:sz w:val="22"/>
          <w:szCs w:val="22"/>
          <w:shd w:val="clear" w:color="auto" w:fill="FFFFFF"/>
        </w:rPr>
        <w:t>Pirmosios instancijos teismas atsisakė priimti pareiškėjo skundą, kuriuo buvo prašoma panaikinti Alytaus miesto savivaldybės tarybos (toliau – Taryba) sprendimą „Dėl Alytaus</w:t>
      </w:r>
      <w:r w:rsidRPr="0089074F">
        <w:rPr>
          <w:rFonts w:asciiTheme="minorHAnsi" w:hAnsiTheme="minorHAnsi" w:cstheme="minorHAnsi"/>
          <w:color w:val="000000"/>
          <w:sz w:val="22"/>
          <w:szCs w:val="22"/>
          <w:shd w:val="clear" w:color="auto" w:fill="FFFFFF"/>
        </w:rPr>
        <w:t xml:space="preserve"> „Drevinuko“ mokyklos-darželio ir Alytaus Vidzgirio mokyklos reorganizavimo sąlygų aprašo ir Alytaus Vidzgirio mokyklos nuostatų patvirtinimo“ (toliau </w:t>
      </w:r>
      <w:r>
        <w:rPr>
          <w:rFonts w:asciiTheme="minorHAnsi" w:hAnsiTheme="minorHAnsi" w:cstheme="minorHAnsi"/>
          <w:color w:val="000000"/>
          <w:sz w:val="22"/>
          <w:szCs w:val="22"/>
          <w:shd w:val="clear" w:color="auto" w:fill="FFFFFF"/>
        </w:rPr>
        <w:t xml:space="preserve">– </w:t>
      </w:r>
      <w:r w:rsidRPr="0089074F">
        <w:rPr>
          <w:rFonts w:asciiTheme="minorHAnsi" w:hAnsiTheme="minorHAnsi" w:cstheme="minorHAnsi"/>
          <w:color w:val="000000"/>
          <w:sz w:val="22"/>
          <w:szCs w:val="22"/>
          <w:shd w:val="clear" w:color="auto" w:fill="FFFFFF"/>
        </w:rPr>
        <w:t>Sprendimas)</w:t>
      </w:r>
      <w:r>
        <w:rPr>
          <w:rFonts w:asciiTheme="minorHAnsi" w:hAnsiTheme="minorHAnsi" w:cstheme="minorHAnsi"/>
          <w:color w:val="000000"/>
          <w:sz w:val="22"/>
          <w:szCs w:val="22"/>
          <w:shd w:val="clear" w:color="auto" w:fill="FFFFFF"/>
        </w:rPr>
        <w:t xml:space="preserve"> ir</w:t>
      </w:r>
      <w:r w:rsidRPr="0089074F">
        <w:rPr>
          <w:rFonts w:asciiTheme="minorHAnsi" w:hAnsiTheme="minorHAnsi" w:cstheme="minorHAnsi"/>
          <w:color w:val="000000"/>
          <w:sz w:val="22"/>
          <w:szCs w:val="22"/>
          <w:shd w:val="clear" w:color="auto" w:fill="FFFFFF"/>
        </w:rPr>
        <w:t xml:space="preserve"> Taryb</w:t>
      </w:r>
      <w:r>
        <w:rPr>
          <w:rFonts w:asciiTheme="minorHAnsi" w:hAnsiTheme="minorHAnsi" w:cstheme="minorHAnsi"/>
          <w:color w:val="000000"/>
          <w:sz w:val="22"/>
          <w:szCs w:val="22"/>
          <w:shd w:val="clear" w:color="auto" w:fill="FFFFFF"/>
        </w:rPr>
        <w:t>os</w:t>
      </w:r>
      <w:r w:rsidRPr="0089074F">
        <w:rPr>
          <w:rFonts w:asciiTheme="minorHAnsi" w:hAnsiTheme="minorHAnsi" w:cstheme="minorHAnsi"/>
          <w:color w:val="000000"/>
          <w:sz w:val="22"/>
          <w:szCs w:val="22"/>
          <w:shd w:val="clear" w:color="auto" w:fill="FFFFFF"/>
        </w:rPr>
        <w:t xml:space="preserve"> sprendimo „Dėl turto perdavimo“ dalį</w:t>
      </w:r>
      <w:r>
        <w:rPr>
          <w:rFonts w:asciiTheme="minorHAnsi" w:hAnsiTheme="minorHAnsi" w:cstheme="minorHAnsi"/>
          <w:color w:val="000000"/>
          <w:sz w:val="22"/>
          <w:szCs w:val="22"/>
          <w:shd w:val="clear" w:color="auto" w:fill="FFFFFF"/>
        </w:rPr>
        <w:t>.</w:t>
      </w:r>
    </w:p>
    <w:p w14:paraId="5B01916F" w14:textId="5EE379DD" w:rsidR="00E50CAF" w:rsidRDefault="00E50CAF" w:rsidP="00E50CAF">
      <w:pPr>
        <w:ind w:firstLine="567"/>
        <w:jc w:val="both"/>
        <w:rPr>
          <w:rFonts w:asciiTheme="minorHAnsi" w:hAnsiTheme="minorHAnsi" w:cstheme="minorHAnsi"/>
          <w:color w:val="000000"/>
          <w:sz w:val="22"/>
          <w:szCs w:val="22"/>
          <w:shd w:val="clear" w:color="auto" w:fill="FFFFFF"/>
        </w:rPr>
      </w:pPr>
      <w:r w:rsidRPr="008B16C5">
        <w:rPr>
          <w:rFonts w:asciiTheme="minorHAnsi" w:hAnsiTheme="minorHAnsi" w:cstheme="minorHAnsi"/>
          <w:color w:val="000000"/>
          <w:sz w:val="22"/>
          <w:szCs w:val="22"/>
          <w:shd w:val="clear" w:color="auto" w:fill="FFFFFF"/>
        </w:rPr>
        <w:t>Pirmosios instancijos teismas pareiškėjo skundą atsisakė priimti kaip nenagrinėtiną administracinio proceso tvarka</w:t>
      </w:r>
      <w:r w:rsidR="003049DE">
        <w:rPr>
          <w:rFonts w:asciiTheme="minorHAnsi" w:hAnsiTheme="minorHAnsi" w:cstheme="minorHAnsi"/>
          <w:color w:val="000000"/>
          <w:sz w:val="22"/>
          <w:szCs w:val="22"/>
          <w:shd w:val="clear" w:color="auto" w:fill="FFFFFF"/>
        </w:rPr>
        <w:t>,</w:t>
      </w:r>
      <w:r w:rsidRPr="008B16C5">
        <w:rPr>
          <w:rFonts w:asciiTheme="minorHAnsi" w:hAnsiTheme="minorHAnsi" w:cstheme="minorHAnsi"/>
          <w:color w:val="000000"/>
          <w:sz w:val="22"/>
          <w:szCs w:val="22"/>
          <w:shd w:val="clear" w:color="auto" w:fill="FFFFFF"/>
        </w:rPr>
        <w:t xml:space="preserve"> padaręs išvadą, kad šiuo atveju pareiškėjas kreipėsi į teismą dėl norminio akto pripažinimo negaliojančiu, nesilaikydamas ABTĮ nustatytos tokio pobūdžio aktų teisėtumo tyrimo tvarkos.</w:t>
      </w:r>
    </w:p>
    <w:p w14:paraId="663536CC" w14:textId="4D715C32" w:rsidR="00E50CAF" w:rsidRDefault="00E50CAF" w:rsidP="00E50CAF">
      <w:pPr>
        <w:ind w:firstLine="567"/>
        <w:jc w:val="both"/>
        <w:rPr>
          <w:rFonts w:asciiTheme="minorHAnsi" w:hAnsiTheme="minorHAnsi" w:cstheme="minorHAnsi"/>
          <w:color w:val="000000"/>
          <w:sz w:val="22"/>
          <w:szCs w:val="22"/>
          <w:shd w:val="clear" w:color="auto" w:fill="FFFFFF"/>
        </w:rPr>
      </w:pPr>
      <w:r w:rsidRPr="008B16C5">
        <w:rPr>
          <w:rFonts w:asciiTheme="minorHAnsi" w:hAnsiTheme="minorHAnsi" w:cstheme="minorHAnsi"/>
          <w:color w:val="000000"/>
          <w:sz w:val="22"/>
          <w:szCs w:val="22"/>
          <w:shd w:val="clear" w:color="auto" w:fill="FFFFFF"/>
        </w:rPr>
        <w:t xml:space="preserve">LVAT teisėjų kolegija konstatavo, kad byloje kyla klausimas, ar pareiškėjo skundžiamas </w:t>
      </w:r>
      <w:r w:rsidR="003049DE">
        <w:rPr>
          <w:rFonts w:asciiTheme="minorHAnsi" w:hAnsiTheme="minorHAnsi" w:cstheme="minorHAnsi"/>
          <w:color w:val="000000"/>
          <w:sz w:val="22"/>
          <w:szCs w:val="22"/>
          <w:shd w:val="clear" w:color="auto" w:fill="FFFFFF"/>
        </w:rPr>
        <w:t>S</w:t>
      </w:r>
      <w:r w:rsidRPr="008B16C5">
        <w:rPr>
          <w:rFonts w:asciiTheme="minorHAnsi" w:hAnsiTheme="minorHAnsi" w:cstheme="minorHAnsi"/>
          <w:color w:val="000000"/>
          <w:sz w:val="22"/>
          <w:szCs w:val="22"/>
          <w:shd w:val="clear" w:color="auto" w:fill="FFFFFF"/>
        </w:rPr>
        <w:t>prendimas yra norminis</w:t>
      </w:r>
      <w:r w:rsidR="00AD6793">
        <w:rPr>
          <w:rFonts w:asciiTheme="minorHAnsi" w:hAnsiTheme="minorHAnsi" w:cstheme="minorHAnsi"/>
          <w:color w:val="000000"/>
          <w:sz w:val="22"/>
          <w:szCs w:val="22"/>
          <w:shd w:val="clear" w:color="auto" w:fill="FFFFFF"/>
        </w:rPr>
        <w:t>,</w:t>
      </w:r>
      <w:r w:rsidRPr="008B16C5">
        <w:rPr>
          <w:rFonts w:asciiTheme="minorHAnsi" w:hAnsiTheme="minorHAnsi" w:cstheme="minorHAnsi"/>
          <w:color w:val="000000"/>
          <w:sz w:val="22"/>
          <w:szCs w:val="22"/>
          <w:shd w:val="clear" w:color="auto" w:fill="FFFFFF"/>
        </w:rPr>
        <w:t xml:space="preserve"> ar individualus administracinis aktas.</w:t>
      </w:r>
    </w:p>
    <w:p w14:paraId="22842A65" w14:textId="4080C5FD" w:rsidR="00E50CAF" w:rsidRPr="008B16C5" w:rsidRDefault="00E50CAF" w:rsidP="00E50CAF">
      <w:pPr>
        <w:ind w:firstLine="567"/>
        <w:jc w:val="both"/>
        <w:rPr>
          <w:rFonts w:asciiTheme="minorHAnsi" w:hAnsiTheme="minorHAnsi" w:cstheme="minorHAnsi"/>
          <w:color w:val="000000"/>
          <w:sz w:val="22"/>
          <w:szCs w:val="22"/>
          <w:shd w:val="clear" w:color="auto" w:fill="FFFFFF"/>
        </w:rPr>
      </w:pPr>
      <w:r w:rsidRPr="008B16C5">
        <w:rPr>
          <w:rFonts w:asciiTheme="minorHAnsi" w:hAnsiTheme="minorHAnsi" w:cstheme="minorHAnsi"/>
          <w:color w:val="000000"/>
          <w:sz w:val="22"/>
          <w:szCs w:val="22"/>
          <w:shd w:val="clear" w:color="auto" w:fill="FFFFFF"/>
        </w:rPr>
        <w:t>Teisėjų kolegija, įvertinusi susijusią LVAT praktiką dėl savivaldybių tarybų priimamų sprendimų, susijusių su biudžetinių įstaigų reorganizavimu, skundžiamo Sprendimo turinį bei pobūdį, pažym</w:t>
      </w:r>
      <w:r>
        <w:rPr>
          <w:rFonts w:asciiTheme="minorHAnsi" w:hAnsiTheme="minorHAnsi" w:cstheme="minorHAnsi"/>
          <w:color w:val="000000"/>
          <w:sz w:val="22"/>
          <w:szCs w:val="22"/>
          <w:shd w:val="clear" w:color="auto" w:fill="FFFFFF"/>
        </w:rPr>
        <w:t>ėjo</w:t>
      </w:r>
      <w:r w:rsidRPr="008B16C5">
        <w:rPr>
          <w:rFonts w:asciiTheme="minorHAnsi" w:hAnsiTheme="minorHAnsi" w:cstheme="minorHAnsi"/>
          <w:color w:val="000000"/>
          <w:sz w:val="22"/>
          <w:szCs w:val="22"/>
          <w:shd w:val="clear" w:color="auto" w:fill="FFFFFF"/>
        </w:rPr>
        <w:t xml:space="preserve">, kad </w:t>
      </w:r>
      <w:r w:rsidR="00AD6793">
        <w:rPr>
          <w:rFonts w:asciiTheme="minorHAnsi" w:hAnsiTheme="minorHAnsi" w:cstheme="minorHAnsi"/>
          <w:color w:val="000000"/>
          <w:sz w:val="22"/>
          <w:szCs w:val="22"/>
          <w:shd w:val="clear" w:color="auto" w:fill="FFFFFF"/>
        </w:rPr>
        <w:t>šiuo</w:t>
      </w:r>
      <w:r w:rsidRPr="008B16C5">
        <w:rPr>
          <w:rFonts w:asciiTheme="minorHAnsi" w:hAnsiTheme="minorHAnsi" w:cstheme="minorHAnsi"/>
          <w:color w:val="000000"/>
          <w:sz w:val="22"/>
          <w:szCs w:val="22"/>
          <w:shd w:val="clear" w:color="auto" w:fill="FFFFFF"/>
        </w:rPr>
        <w:t xml:space="preserve"> atveju </w:t>
      </w:r>
      <w:r w:rsidRPr="008B16C5">
        <w:rPr>
          <w:rFonts w:asciiTheme="minorHAnsi" w:hAnsiTheme="minorHAnsi" w:cstheme="minorHAnsi"/>
          <w:color w:val="000000"/>
          <w:sz w:val="22"/>
          <w:szCs w:val="22"/>
          <w:u w:val="single"/>
          <w:shd w:val="clear" w:color="auto" w:fill="FFFFFF"/>
        </w:rPr>
        <w:t>nėra pagrindo sutikti su pirmosios instancijos teismo vertinimu, jog skundžiamas Sprendimas yra norminis administracinis aktas</w:t>
      </w:r>
      <w:r w:rsidRPr="008B16C5">
        <w:rPr>
          <w:rFonts w:asciiTheme="minorHAnsi" w:hAnsiTheme="minorHAnsi" w:cstheme="minorHAnsi"/>
          <w:color w:val="000000"/>
          <w:sz w:val="22"/>
          <w:szCs w:val="22"/>
          <w:shd w:val="clear" w:color="auto" w:fill="FFFFFF"/>
        </w:rPr>
        <w:t xml:space="preserve">. Tarybos Sprendimas yra individualaus administracinio pobūdžio, vertinant, jog sprendimas skirtas apibrėžtam subjektų ratui – tiems, kurie reorganizuojami; šiuo </w:t>
      </w:r>
      <w:r>
        <w:rPr>
          <w:rFonts w:asciiTheme="minorHAnsi" w:hAnsiTheme="minorHAnsi" w:cstheme="minorHAnsi"/>
          <w:color w:val="000000"/>
          <w:sz w:val="22"/>
          <w:szCs w:val="22"/>
          <w:shd w:val="clear" w:color="auto" w:fill="FFFFFF"/>
        </w:rPr>
        <w:t>S</w:t>
      </w:r>
      <w:r w:rsidRPr="008B16C5">
        <w:rPr>
          <w:rFonts w:asciiTheme="minorHAnsi" w:hAnsiTheme="minorHAnsi" w:cstheme="minorHAnsi"/>
          <w:color w:val="000000"/>
          <w:sz w:val="22"/>
          <w:szCs w:val="22"/>
          <w:shd w:val="clear" w:color="auto" w:fill="FFFFFF"/>
        </w:rPr>
        <w:t>prendimu jokio</w:t>
      </w:r>
      <w:r>
        <w:rPr>
          <w:rFonts w:asciiTheme="minorHAnsi" w:hAnsiTheme="minorHAnsi" w:cstheme="minorHAnsi"/>
          <w:color w:val="000000"/>
          <w:sz w:val="22"/>
          <w:szCs w:val="22"/>
          <w:shd w:val="clear" w:color="auto" w:fill="FFFFFF"/>
        </w:rPr>
        <w:t>s</w:t>
      </w:r>
      <w:r w:rsidRPr="008B16C5">
        <w:rPr>
          <w:rFonts w:asciiTheme="minorHAnsi" w:hAnsiTheme="minorHAnsi" w:cstheme="minorHAnsi"/>
          <w:color w:val="000000"/>
          <w:sz w:val="22"/>
          <w:szCs w:val="22"/>
          <w:shd w:val="clear" w:color="auto" w:fill="FFFFFF"/>
        </w:rPr>
        <w:t xml:space="preserve"> bendro ar abstraktaus pobūdžio elgesio taisyklės nėra nustatomos; </w:t>
      </w:r>
      <w:r>
        <w:rPr>
          <w:rFonts w:asciiTheme="minorHAnsi" w:hAnsiTheme="minorHAnsi" w:cstheme="minorHAnsi"/>
          <w:color w:val="000000"/>
          <w:sz w:val="22"/>
          <w:szCs w:val="22"/>
          <w:shd w:val="clear" w:color="auto" w:fill="FFFFFF"/>
        </w:rPr>
        <w:t>S</w:t>
      </w:r>
      <w:r w:rsidRPr="008B16C5">
        <w:rPr>
          <w:rFonts w:asciiTheme="minorHAnsi" w:hAnsiTheme="minorHAnsi" w:cstheme="minorHAnsi"/>
          <w:color w:val="000000"/>
          <w:sz w:val="22"/>
          <w:szCs w:val="22"/>
          <w:shd w:val="clear" w:color="auto" w:fill="FFFFFF"/>
        </w:rPr>
        <w:t>prendimu patvirtinamos konkrečių biudžetinių įstaigų reorganizavimo sąlygos, po reorganizavimo veiksiančios biudžetinės įstaigos nuostatai, o biudžetinių įstaigų reorganizavimas yra kiekvienos reorganizuojamos ir reorganizavime dalyvaujančios biudžetinės įstaigos savininko teisių įgyvendinimas.</w:t>
      </w:r>
    </w:p>
    <w:p w14:paraId="435B28F4" w14:textId="1A8C464D" w:rsidR="00E50CAF" w:rsidRPr="008B16C5" w:rsidRDefault="00E50CAF" w:rsidP="00E50CAF">
      <w:pPr>
        <w:ind w:firstLine="567"/>
        <w:jc w:val="both"/>
        <w:rPr>
          <w:rFonts w:asciiTheme="minorHAnsi" w:hAnsiTheme="minorHAnsi" w:cstheme="minorHAnsi"/>
          <w:color w:val="000000"/>
          <w:sz w:val="22"/>
          <w:szCs w:val="22"/>
          <w:shd w:val="clear" w:color="auto" w:fill="FFFFFF"/>
        </w:rPr>
      </w:pPr>
      <w:r w:rsidRPr="008B16C5">
        <w:rPr>
          <w:rFonts w:asciiTheme="minorHAnsi" w:hAnsiTheme="minorHAnsi" w:cstheme="minorHAnsi"/>
          <w:color w:val="000000"/>
          <w:sz w:val="22"/>
          <w:szCs w:val="22"/>
          <w:shd w:val="clear" w:color="auto" w:fill="FFFFFF"/>
        </w:rPr>
        <w:t>Paneigus aplinkybę, kad Sprendimas yra norminis administracinis aktas, kas lėmė nepagrįstą teismo procesinį sprendimą atsisakyti priimti pareiškėjo skundą, pirmosios instancijos teismo nutartis panaikinta, o skundo priėmimo klausimas perduotas pirmosios instancijos teismui nagrinėti iš naujo.</w:t>
      </w:r>
    </w:p>
    <w:p w14:paraId="1B3EDE54" w14:textId="77777777" w:rsidR="00E50CAF" w:rsidRPr="00C02623" w:rsidRDefault="00E50CAF" w:rsidP="00E50CAF">
      <w:pPr>
        <w:ind w:firstLine="567"/>
        <w:jc w:val="both"/>
        <w:rPr>
          <w:rFonts w:asciiTheme="minorHAnsi" w:hAnsiTheme="minorHAnsi" w:cstheme="minorHAnsi"/>
          <w:color w:val="000000"/>
          <w:sz w:val="22"/>
          <w:szCs w:val="22"/>
          <w:shd w:val="clear" w:color="auto" w:fill="FFFFFF"/>
        </w:rPr>
      </w:pPr>
    </w:p>
    <w:p w14:paraId="55E3ED25" w14:textId="77777777" w:rsidR="00E50CAF" w:rsidRPr="00C02623" w:rsidRDefault="00E50CAF" w:rsidP="00E50CAF">
      <w:pPr>
        <w:jc w:val="both"/>
        <w:rPr>
          <w:rFonts w:asciiTheme="minorHAnsi" w:hAnsiTheme="minorHAnsi" w:cstheme="minorHAnsi"/>
          <w:color w:val="000000"/>
          <w:sz w:val="22"/>
          <w:szCs w:val="22"/>
          <w:shd w:val="clear" w:color="auto" w:fill="FFFFFF"/>
        </w:rPr>
      </w:pPr>
      <w:r w:rsidRPr="00C02623">
        <w:rPr>
          <w:rFonts w:asciiTheme="minorHAnsi" w:hAnsiTheme="minorHAnsi" w:cstheme="minorHAnsi"/>
          <w:color w:val="000000"/>
          <w:sz w:val="22"/>
          <w:szCs w:val="22"/>
          <w:shd w:val="clear" w:color="auto" w:fill="FFFFFF"/>
        </w:rPr>
        <w:t>2024 m. lapkričio 27 d. nutartis administracinėje byloje Nr. eAS-611-662/2024</w:t>
      </w:r>
    </w:p>
    <w:p w14:paraId="240D79DD" w14:textId="77777777" w:rsidR="00E50CAF" w:rsidRDefault="00E50CAF" w:rsidP="00E50CAF">
      <w:pPr>
        <w:jc w:val="both"/>
        <w:rPr>
          <w:rFonts w:asciiTheme="minorHAnsi" w:hAnsiTheme="minorHAnsi" w:cstheme="minorHAnsi"/>
          <w:color w:val="000000"/>
          <w:sz w:val="22"/>
          <w:szCs w:val="22"/>
          <w:shd w:val="clear" w:color="auto" w:fill="FFFFFF"/>
        </w:rPr>
      </w:pPr>
      <w:r w:rsidRPr="00C02623">
        <w:rPr>
          <w:rFonts w:asciiTheme="minorHAnsi" w:hAnsiTheme="minorHAnsi" w:cstheme="minorHAnsi"/>
          <w:color w:val="000000"/>
          <w:sz w:val="22"/>
          <w:szCs w:val="22"/>
          <w:shd w:val="clear" w:color="auto" w:fill="FFFFFF"/>
        </w:rPr>
        <w:t>Teisminio proceso Nr. 3-62-3-01445-2024-6</w:t>
      </w:r>
    </w:p>
    <w:p w14:paraId="3408C976" w14:textId="77777777" w:rsidR="00E50CAF" w:rsidRDefault="00E50CAF" w:rsidP="00E50CAF">
      <w:pPr>
        <w:jc w:val="both"/>
        <w:rPr>
          <w:rStyle w:val="Hyperlink"/>
          <w:rFonts w:asciiTheme="minorHAnsi" w:hAnsiTheme="minorHAnsi" w:cstheme="minorHAnsi"/>
          <w:sz w:val="22"/>
          <w:szCs w:val="22"/>
          <w:highlight w:val="yellow"/>
          <w:shd w:val="clear" w:color="auto" w:fill="FFFFFF"/>
        </w:rPr>
      </w:pPr>
      <w:hyperlink r:id="rId29" w:history="1">
        <w:r w:rsidRPr="00F31662">
          <w:rPr>
            <w:rStyle w:val="Hyperlink"/>
            <w:rFonts w:asciiTheme="minorHAnsi" w:hAnsiTheme="minorHAnsi" w:cstheme="minorHAnsi"/>
            <w:sz w:val="22"/>
            <w:szCs w:val="22"/>
            <w:shd w:val="clear" w:color="auto" w:fill="FFFFFF"/>
          </w:rPr>
          <w:t>Prieiga internete</w:t>
        </w:r>
      </w:hyperlink>
    </w:p>
    <w:p w14:paraId="502573DB" w14:textId="77777777" w:rsidR="00E50CAF" w:rsidRPr="007D51B8" w:rsidRDefault="00E50CAF" w:rsidP="00E50CAF">
      <w:pPr>
        <w:jc w:val="both"/>
        <w:rPr>
          <w:rStyle w:val="Hyperlink"/>
          <w:rFonts w:asciiTheme="minorHAnsi" w:hAnsiTheme="minorHAnsi" w:cstheme="minorHAnsi"/>
          <w:color w:val="auto"/>
          <w:sz w:val="22"/>
          <w:szCs w:val="22"/>
          <w:shd w:val="clear" w:color="auto" w:fill="FFFFFF"/>
        </w:rPr>
      </w:pPr>
    </w:p>
    <w:p w14:paraId="47DA770B" w14:textId="77777777" w:rsidR="00E50CAF" w:rsidRPr="00565E3B" w:rsidRDefault="00E50CAF" w:rsidP="00E50CAF">
      <w:pPr>
        <w:jc w:val="both"/>
        <w:outlineLvl w:val="1"/>
        <w:rPr>
          <w:rFonts w:asciiTheme="minorHAnsi" w:eastAsia="Calibri" w:hAnsiTheme="minorHAnsi" w:cstheme="minorHAnsi"/>
          <w:i/>
          <w:sz w:val="22"/>
          <w:szCs w:val="22"/>
        </w:rPr>
      </w:pPr>
      <w:bookmarkStart w:id="53" w:name="_Toc187075161"/>
      <w:r w:rsidRPr="00565E3B">
        <w:rPr>
          <w:rFonts w:asciiTheme="minorHAnsi" w:eastAsia="Calibri" w:hAnsiTheme="minorHAnsi" w:cstheme="minorHAnsi"/>
          <w:i/>
          <w:sz w:val="22"/>
          <w:szCs w:val="22"/>
        </w:rPr>
        <w:t>Dėl galimybės teismui pratęsti Mokestinių ginčų komisijos sprendimo apskundimo terminą</w:t>
      </w:r>
      <w:bookmarkEnd w:id="53"/>
    </w:p>
    <w:p w14:paraId="2315BCB6" w14:textId="77777777" w:rsidR="00E50CAF" w:rsidRPr="007D51B8" w:rsidRDefault="00E50CAF" w:rsidP="00E50CAF">
      <w:pPr>
        <w:jc w:val="both"/>
        <w:rPr>
          <w:rFonts w:asciiTheme="minorHAnsi" w:hAnsiTheme="minorHAnsi" w:cstheme="minorHAnsi"/>
          <w:color w:val="000000"/>
          <w:sz w:val="22"/>
          <w:szCs w:val="22"/>
          <w:shd w:val="clear" w:color="auto" w:fill="FFFFFF"/>
        </w:rPr>
      </w:pPr>
    </w:p>
    <w:p w14:paraId="13F5522F" w14:textId="58850775" w:rsidR="00E50CAF" w:rsidRPr="00565E3B" w:rsidRDefault="00E50CAF" w:rsidP="00E50CAF">
      <w:pPr>
        <w:ind w:firstLine="567"/>
        <w:jc w:val="both"/>
        <w:rPr>
          <w:rFonts w:asciiTheme="minorHAnsi" w:hAnsiTheme="minorHAnsi" w:cstheme="minorHAnsi"/>
          <w:color w:val="000000"/>
          <w:sz w:val="22"/>
          <w:szCs w:val="22"/>
          <w:shd w:val="clear" w:color="auto" w:fill="FFFFFF"/>
        </w:rPr>
      </w:pPr>
      <w:r w:rsidRPr="00565E3B">
        <w:rPr>
          <w:rFonts w:asciiTheme="minorHAnsi" w:hAnsiTheme="minorHAnsi" w:cstheme="minorHAnsi"/>
          <w:color w:val="000000"/>
          <w:sz w:val="22"/>
          <w:szCs w:val="22"/>
          <w:shd w:val="clear" w:color="auto" w:fill="FFFFFF"/>
        </w:rPr>
        <w:lastRenderedPageBreak/>
        <w:t>Pirmosios instancijos teismas atsisakė priimti pareiškėjo skundą, kuriuo buvo prašoma iki 2024 m. liepos 9 d. pratęsti Mokestinių ginčų komisijos prie Lietuvos Respublikos Vyriausybės (toliau – Komisija) sprendimo apskundimo terminą.</w:t>
      </w:r>
    </w:p>
    <w:p w14:paraId="455E942A" w14:textId="77777777" w:rsidR="00E50CAF" w:rsidRPr="00565E3B" w:rsidRDefault="00E50CAF" w:rsidP="00E50CAF">
      <w:pPr>
        <w:ind w:firstLine="567"/>
        <w:jc w:val="both"/>
        <w:rPr>
          <w:rFonts w:asciiTheme="minorHAnsi" w:hAnsiTheme="minorHAnsi" w:cstheme="minorHAnsi"/>
          <w:color w:val="000000"/>
          <w:sz w:val="22"/>
          <w:szCs w:val="22"/>
          <w:shd w:val="clear" w:color="auto" w:fill="FFFFFF"/>
        </w:rPr>
      </w:pPr>
      <w:r w:rsidRPr="00565E3B">
        <w:rPr>
          <w:rFonts w:asciiTheme="minorHAnsi" w:hAnsiTheme="minorHAnsi" w:cstheme="minorHAnsi"/>
          <w:color w:val="000000"/>
          <w:sz w:val="22"/>
          <w:szCs w:val="22"/>
          <w:shd w:val="clear" w:color="auto" w:fill="FFFFFF"/>
        </w:rPr>
        <w:t>Pirmosios instancijos teismas padar</w:t>
      </w:r>
      <w:r>
        <w:rPr>
          <w:rFonts w:asciiTheme="minorHAnsi" w:hAnsiTheme="minorHAnsi" w:cstheme="minorHAnsi"/>
          <w:color w:val="000000"/>
          <w:sz w:val="22"/>
          <w:szCs w:val="22"/>
          <w:shd w:val="clear" w:color="auto" w:fill="FFFFFF"/>
        </w:rPr>
        <w:t>ė</w:t>
      </w:r>
      <w:r w:rsidRPr="00565E3B">
        <w:rPr>
          <w:rFonts w:asciiTheme="minorHAnsi" w:hAnsiTheme="minorHAnsi" w:cstheme="minorHAnsi"/>
          <w:color w:val="000000"/>
          <w:sz w:val="22"/>
          <w:szCs w:val="22"/>
          <w:shd w:val="clear" w:color="auto" w:fill="FFFFFF"/>
        </w:rPr>
        <w:t xml:space="preserve"> išvadą, kad pareiškėjo prašymas yra procedūrinio pobūdžio, todėl jis negali būti nagrinėjamas kaip savarankiškas reikalavimas administraciniame teisme.</w:t>
      </w:r>
    </w:p>
    <w:p w14:paraId="5866E6D9" w14:textId="44C56434" w:rsidR="00E50CAF" w:rsidRPr="00565E3B" w:rsidRDefault="00E50CAF" w:rsidP="00E50CAF">
      <w:pPr>
        <w:ind w:firstLine="567"/>
        <w:jc w:val="both"/>
        <w:rPr>
          <w:rFonts w:asciiTheme="minorHAnsi" w:hAnsiTheme="minorHAnsi" w:cstheme="minorHAnsi"/>
          <w:color w:val="000000"/>
          <w:sz w:val="22"/>
          <w:szCs w:val="22"/>
          <w:shd w:val="clear" w:color="auto" w:fill="FFFFFF"/>
        </w:rPr>
      </w:pPr>
      <w:r w:rsidRPr="00565E3B">
        <w:rPr>
          <w:rFonts w:asciiTheme="minorHAnsi" w:hAnsiTheme="minorHAnsi" w:cstheme="minorHAnsi"/>
          <w:color w:val="000000"/>
          <w:sz w:val="22"/>
          <w:szCs w:val="22"/>
          <w:shd w:val="clear" w:color="auto" w:fill="FFFFFF"/>
        </w:rPr>
        <w:t>LVAT teisėjų kolegija įvertino ABTĮ 64 straipsnio 1 dalyje nustatytą reguliavimą, pagal kurį procesiniai veiksmai atliekami per įstatymų nustatytus terminus. Tais atvejais, kai terminų nėra nustatęs įstatymas, juos skiria teismas. Teismo paskirti terminai gali būti teismo pratęsti. Teisėjų kolegija taip pat atkreipė dėmesį, jog Mokesčių administravimo įstatymo 159 straipsnio 3 dalyje numatyta, kad skundas teismui turi būti paduodamas ne vėliau kaip per 20 dienų po centrinio mokesčių administratoriaus arba Mokestinių ginčų komisijos sprendimo įteikimo dienos.</w:t>
      </w:r>
    </w:p>
    <w:p w14:paraId="7EB2F9A1" w14:textId="08E9FFA5" w:rsidR="00E50CAF" w:rsidRPr="00565E3B" w:rsidRDefault="00E50CAF" w:rsidP="00E50CAF">
      <w:pPr>
        <w:ind w:firstLine="567"/>
        <w:jc w:val="both"/>
        <w:rPr>
          <w:rFonts w:asciiTheme="minorHAnsi" w:hAnsiTheme="minorHAnsi" w:cstheme="minorHAnsi"/>
          <w:color w:val="000000"/>
          <w:sz w:val="22"/>
          <w:szCs w:val="22"/>
          <w:shd w:val="clear" w:color="auto" w:fill="FFFFFF"/>
        </w:rPr>
      </w:pPr>
      <w:r w:rsidRPr="00565E3B">
        <w:rPr>
          <w:rFonts w:asciiTheme="minorHAnsi" w:hAnsiTheme="minorHAnsi" w:cstheme="minorHAnsi"/>
          <w:color w:val="000000"/>
          <w:sz w:val="22"/>
          <w:szCs w:val="22"/>
          <w:shd w:val="clear" w:color="auto" w:fill="FFFFFF"/>
        </w:rPr>
        <w:t>Įvertinusi aptartą teisinį reguliavimą, teisėjų kolegija konstata</w:t>
      </w:r>
      <w:r>
        <w:rPr>
          <w:rFonts w:asciiTheme="minorHAnsi" w:hAnsiTheme="minorHAnsi" w:cstheme="minorHAnsi"/>
          <w:color w:val="000000"/>
          <w:sz w:val="22"/>
          <w:szCs w:val="22"/>
          <w:shd w:val="clear" w:color="auto" w:fill="FFFFFF"/>
        </w:rPr>
        <w:t>vo</w:t>
      </w:r>
      <w:r w:rsidRPr="00565E3B">
        <w:rPr>
          <w:rFonts w:asciiTheme="minorHAnsi" w:hAnsiTheme="minorHAnsi" w:cstheme="minorHAnsi"/>
          <w:color w:val="000000"/>
          <w:sz w:val="22"/>
          <w:szCs w:val="22"/>
          <w:shd w:val="clear" w:color="auto" w:fill="FFFFFF"/>
        </w:rPr>
        <w:t xml:space="preserve">, kad </w:t>
      </w:r>
      <w:r w:rsidRPr="00565E3B">
        <w:rPr>
          <w:rFonts w:asciiTheme="minorHAnsi" w:hAnsiTheme="minorHAnsi" w:cstheme="minorHAnsi"/>
          <w:color w:val="000000"/>
          <w:sz w:val="22"/>
          <w:szCs w:val="22"/>
          <w:u w:val="single"/>
          <w:shd w:val="clear" w:color="auto" w:fill="FFFFFF"/>
        </w:rPr>
        <w:t xml:space="preserve">Komisijos </w:t>
      </w:r>
      <w:r w:rsidR="00A41FF9">
        <w:rPr>
          <w:rFonts w:asciiTheme="minorHAnsi" w:hAnsiTheme="minorHAnsi" w:cstheme="minorHAnsi"/>
          <w:color w:val="000000"/>
          <w:sz w:val="22"/>
          <w:szCs w:val="22"/>
          <w:u w:val="single"/>
          <w:shd w:val="clear" w:color="auto" w:fill="FFFFFF"/>
        </w:rPr>
        <w:t>s</w:t>
      </w:r>
      <w:r w:rsidRPr="00565E3B">
        <w:rPr>
          <w:rFonts w:asciiTheme="minorHAnsi" w:hAnsiTheme="minorHAnsi" w:cstheme="minorHAnsi"/>
          <w:color w:val="000000"/>
          <w:sz w:val="22"/>
          <w:szCs w:val="22"/>
          <w:u w:val="single"/>
          <w:shd w:val="clear" w:color="auto" w:fill="FFFFFF"/>
        </w:rPr>
        <w:t xml:space="preserve">prendimo apskundimo terminas yra nustatytas įstatymu, todėl, kaip teisingai nurodė pirmosios instancijos teismas, teismas negali pratęsti tokio </w:t>
      </w:r>
      <w:r w:rsidRPr="00A41FF9">
        <w:rPr>
          <w:rFonts w:asciiTheme="minorHAnsi" w:hAnsiTheme="minorHAnsi" w:cstheme="minorHAnsi"/>
          <w:color w:val="000000"/>
          <w:sz w:val="22"/>
          <w:szCs w:val="22"/>
          <w:u w:val="single"/>
          <w:shd w:val="clear" w:color="auto" w:fill="FFFFFF"/>
        </w:rPr>
        <w:t>termino. Kit</w:t>
      </w:r>
      <w:r w:rsidRPr="00565E3B">
        <w:rPr>
          <w:rFonts w:asciiTheme="minorHAnsi" w:hAnsiTheme="minorHAnsi" w:cstheme="minorHAnsi"/>
          <w:color w:val="000000"/>
          <w:sz w:val="22"/>
          <w:szCs w:val="22"/>
          <w:u w:val="single"/>
          <w:shd w:val="clear" w:color="auto" w:fill="FFFFFF"/>
        </w:rPr>
        <w:t xml:space="preserve">a vertus, skundo dėl Komisijos </w:t>
      </w:r>
      <w:r w:rsidR="00A41FF9">
        <w:rPr>
          <w:rFonts w:asciiTheme="minorHAnsi" w:hAnsiTheme="minorHAnsi" w:cstheme="minorHAnsi"/>
          <w:color w:val="000000"/>
          <w:sz w:val="22"/>
          <w:szCs w:val="22"/>
          <w:u w:val="single"/>
          <w:shd w:val="clear" w:color="auto" w:fill="FFFFFF"/>
        </w:rPr>
        <w:t>s</w:t>
      </w:r>
      <w:r w:rsidRPr="00565E3B">
        <w:rPr>
          <w:rFonts w:asciiTheme="minorHAnsi" w:hAnsiTheme="minorHAnsi" w:cstheme="minorHAnsi"/>
          <w:color w:val="000000"/>
          <w:sz w:val="22"/>
          <w:szCs w:val="22"/>
          <w:u w:val="single"/>
          <w:shd w:val="clear" w:color="auto" w:fill="FFFFFF"/>
        </w:rPr>
        <w:t>prendimo padavimo terminas gali būti atnaujintas</w:t>
      </w:r>
      <w:r w:rsidRPr="00565E3B">
        <w:rPr>
          <w:rFonts w:asciiTheme="minorHAnsi" w:hAnsiTheme="minorHAnsi" w:cstheme="minorHAnsi"/>
          <w:color w:val="000000"/>
          <w:sz w:val="22"/>
          <w:szCs w:val="22"/>
          <w:shd w:val="clear" w:color="auto" w:fill="FFFFFF"/>
        </w:rPr>
        <w:t xml:space="preserve">, todėl teismas tinkamai išaiškino pareiškėjui, kad teikdamas skundą dėl </w:t>
      </w:r>
      <w:r w:rsidR="00A41FF9">
        <w:rPr>
          <w:rFonts w:asciiTheme="minorHAnsi" w:hAnsiTheme="minorHAnsi" w:cstheme="minorHAnsi"/>
          <w:color w:val="000000"/>
          <w:sz w:val="22"/>
          <w:szCs w:val="22"/>
          <w:shd w:val="clear" w:color="auto" w:fill="FFFFFF"/>
        </w:rPr>
        <w:t>Komisijos s</w:t>
      </w:r>
      <w:r w:rsidRPr="00565E3B">
        <w:rPr>
          <w:rFonts w:asciiTheme="minorHAnsi" w:hAnsiTheme="minorHAnsi" w:cstheme="minorHAnsi"/>
          <w:color w:val="000000"/>
          <w:sz w:val="22"/>
          <w:szCs w:val="22"/>
          <w:shd w:val="clear" w:color="auto" w:fill="FFFFFF"/>
        </w:rPr>
        <w:t>prendimo jis kartu gali teikti prašymą atnaujinti skundo padavimo terminą tuo atveju, jeigu jis bus praleistas.</w:t>
      </w:r>
    </w:p>
    <w:p w14:paraId="331F9DC9" w14:textId="77777777" w:rsidR="00E50CAF" w:rsidRPr="00565E3B" w:rsidRDefault="00E50CAF" w:rsidP="00E50CAF">
      <w:pPr>
        <w:ind w:firstLine="567"/>
        <w:jc w:val="both"/>
        <w:rPr>
          <w:rFonts w:asciiTheme="minorHAnsi" w:hAnsiTheme="minorHAnsi" w:cstheme="minorHAnsi"/>
          <w:color w:val="000000"/>
          <w:sz w:val="22"/>
          <w:szCs w:val="22"/>
          <w:shd w:val="clear" w:color="auto" w:fill="FFFFFF"/>
        </w:rPr>
      </w:pPr>
      <w:r w:rsidRPr="00565E3B">
        <w:rPr>
          <w:rFonts w:asciiTheme="minorHAnsi" w:hAnsiTheme="minorHAnsi" w:cstheme="minorHAnsi"/>
          <w:color w:val="000000"/>
          <w:sz w:val="22"/>
          <w:szCs w:val="22"/>
          <w:shd w:val="clear" w:color="auto" w:fill="FFFFFF"/>
        </w:rPr>
        <w:t>Pareiškėjo atskirasis skundas atmestas, o pirmosios instancijos teismo nutartis palikta nepakeista.</w:t>
      </w:r>
    </w:p>
    <w:p w14:paraId="5EF4EB14" w14:textId="77777777" w:rsidR="00E50CAF" w:rsidRPr="00565E3B" w:rsidRDefault="00E50CAF" w:rsidP="00E50CAF">
      <w:pPr>
        <w:ind w:firstLine="567"/>
        <w:jc w:val="both"/>
        <w:rPr>
          <w:rFonts w:asciiTheme="minorHAnsi" w:hAnsiTheme="minorHAnsi" w:cstheme="minorHAnsi"/>
          <w:color w:val="000000"/>
          <w:sz w:val="22"/>
          <w:szCs w:val="22"/>
          <w:shd w:val="clear" w:color="auto" w:fill="FFFFFF"/>
        </w:rPr>
      </w:pPr>
    </w:p>
    <w:p w14:paraId="74EB4DE8" w14:textId="77777777" w:rsidR="00E50CAF" w:rsidRDefault="00E50CAF" w:rsidP="00E50CAF">
      <w:pPr>
        <w:jc w:val="both"/>
        <w:rPr>
          <w:rFonts w:asciiTheme="minorHAnsi" w:hAnsiTheme="minorHAnsi" w:cstheme="minorHAnsi"/>
          <w:color w:val="000000"/>
          <w:sz w:val="22"/>
          <w:szCs w:val="22"/>
          <w:shd w:val="clear" w:color="auto" w:fill="FFFFFF"/>
        </w:rPr>
      </w:pPr>
      <w:r w:rsidRPr="00565E3B">
        <w:rPr>
          <w:rFonts w:asciiTheme="minorHAnsi" w:hAnsiTheme="minorHAnsi" w:cstheme="minorHAnsi"/>
          <w:color w:val="000000"/>
          <w:sz w:val="22"/>
          <w:szCs w:val="22"/>
          <w:shd w:val="clear" w:color="auto" w:fill="FFFFFF"/>
        </w:rPr>
        <w:t>2024 m. lapkričio 6 d. nutartis administracinėje byloje Nr. eAS-592-662/2024</w:t>
      </w:r>
    </w:p>
    <w:p w14:paraId="0218AFDA" w14:textId="77777777" w:rsidR="00E50CAF" w:rsidRPr="00F31662" w:rsidRDefault="00E50CAF" w:rsidP="00E50CAF">
      <w:pPr>
        <w:jc w:val="both"/>
        <w:rPr>
          <w:rFonts w:asciiTheme="minorHAnsi" w:hAnsiTheme="minorHAnsi" w:cstheme="minorHAnsi"/>
          <w:color w:val="000000"/>
          <w:sz w:val="22"/>
          <w:szCs w:val="22"/>
          <w:shd w:val="clear" w:color="auto" w:fill="FFFFFF"/>
        </w:rPr>
      </w:pPr>
      <w:r w:rsidRPr="00F31662">
        <w:rPr>
          <w:rFonts w:asciiTheme="minorHAnsi" w:hAnsiTheme="minorHAnsi" w:cstheme="minorHAnsi"/>
          <w:color w:val="000000"/>
          <w:sz w:val="22"/>
          <w:szCs w:val="22"/>
          <w:shd w:val="clear" w:color="auto" w:fill="FFFFFF"/>
        </w:rPr>
        <w:t>Teisminio proceso Nr. 3-61-3-02878-2024-6</w:t>
      </w:r>
    </w:p>
    <w:p w14:paraId="081EE756" w14:textId="77777777" w:rsidR="00E50CAF" w:rsidRPr="00F31662" w:rsidRDefault="00E50CAF" w:rsidP="00E50CAF">
      <w:pPr>
        <w:jc w:val="both"/>
        <w:rPr>
          <w:rStyle w:val="Hyperlink"/>
          <w:rFonts w:asciiTheme="minorHAnsi" w:hAnsiTheme="minorHAnsi" w:cstheme="minorHAnsi"/>
          <w:sz w:val="22"/>
          <w:szCs w:val="22"/>
          <w:shd w:val="clear" w:color="auto" w:fill="FFFFFF"/>
        </w:rPr>
      </w:pPr>
      <w:hyperlink r:id="rId30" w:history="1">
        <w:r w:rsidRPr="00F31662">
          <w:rPr>
            <w:rStyle w:val="Hyperlink"/>
            <w:rFonts w:asciiTheme="minorHAnsi" w:hAnsiTheme="minorHAnsi" w:cstheme="minorHAnsi"/>
            <w:sz w:val="22"/>
            <w:szCs w:val="22"/>
            <w:shd w:val="clear" w:color="auto" w:fill="FFFFFF"/>
          </w:rPr>
          <w:t>Prieiga internete</w:t>
        </w:r>
      </w:hyperlink>
    </w:p>
    <w:p w14:paraId="249D7702" w14:textId="77777777" w:rsidR="00E50CAF" w:rsidRPr="007D51B8" w:rsidRDefault="00E50CAF" w:rsidP="00E50CAF">
      <w:pPr>
        <w:jc w:val="both"/>
        <w:rPr>
          <w:rStyle w:val="Hyperlink"/>
          <w:rFonts w:asciiTheme="minorHAnsi" w:hAnsiTheme="minorHAnsi" w:cstheme="minorHAnsi"/>
          <w:color w:val="auto"/>
          <w:sz w:val="22"/>
          <w:szCs w:val="22"/>
          <w:highlight w:val="yellow"/>
          <w:shd w:val="clear" w:color="auto" w:fill="FFFFFF"/>
        </w:rPr>
      </w:pPr>
    </w:p>
    <w:p w14:paraId="6E9C4181" w14:textId="77777777" w:rsidR="00E50CAF" w:rsidRDefault="00E50CAF" w:rsidP="007D51B8">
      <w:pPr>
        <w:ind w:left="1843" w:hanging="709"/>
        <w:jc w:val="both"/>
        <w:rPr>
          <w:rFonts w:asciiTheme="minorHAnsi" w:hAnsiTheme="minorHAnsi" w:cstheme="minorHAnsi"/>
          <w:b/>
          <w:bCs/>
          <w:color w:val="000000"/>
          <w:sz w:val="22"/>
          <w:szCs w:val="22"/>
          <w:u w:val="single"/>
          <w:shd w:val="clear" w:color="auto" w:fill="FFFFFF"/>
        </w:rPr>
      </w:pPr>
      <w:r w:rsidRPr="007D2A57">
        <w:rPr>
          <w:rFonts w:asciiTheme="minorHAnsi" w:hAnsiTheme="minorHAnsi" w:cstheme="minorHAnsi"/>
          <w:b/>
          <w:bCs/>
          <w:color w:val="000000"/>
          <w:sz w:val="22"/>
          <w:szCs w:val="22"/>
          <w:u w:val="single"/>
          <w:shd w:val="clear" w:color="auto" w:fill="FFFFFF"/>
        </w:rPr>
        <w:t>43.5.9. Kai skundas paduotas praleidus nustatytą skundo padavimo terminą ir šis terminas neatnaujinamas</w:t>
      </w:r>
    </w:p>
    <w:p w14:paraId="7B89E10E" w14:textId="77777777" w:rsidR="00E50CAF" w:rsidRPr="00DD636C" w:rsidRDefault="00E50CAF" w:rsidP="00827FA0">
      <w:pPr>
        <w:jc w:val="both"/>
        <w:rPr>
          <w:rFonts w:asciiTheme="minorHAnsi" w:hAnsiTheme="minorHAnsi" w:cstheme="minorHAnsi"/>
          <w:b/>
          <w:bCs/>
          <w:color w:val="000000"/>
          <w:sz w:val="22"/>
          <w:szCs w:val="22"/>
          <w:u w:val="single"/>
          <w:shd w:val="clear" w:color="auto" w:fill="FFFFFF"/>
        </w:rPr>
      </w:pPr>
    </w:p>
    <w:p w14:paraId="738BC534" w14:textId="77777777" w:rsidR="00E50CAF" w:rsidRPr="00DD636C" w:rsidRDefault="00E50CAF" w:rsidP="00E50CAF">
      <w:pPr>
        <w:jc w:val="both"/>
        <w:outlineLvl w:val="1"/>
        <w:rPr>
          <w:rFonts w:asciiTheme="minorHAnsi" w:eastAsia="Calibri" w:hAnsiTheme="minorHAnsi" w:cstheme="minorHAnsi"/>
          <w:i/>
          <w:sz w:val="22"/>
          <w:szCs w:val="22"/>
        </w:rPr>
      </w:pPr>
      <w:bookmarkStart w:id="54" w:name="_Toc187075162"/>
      <w:r w:rsidRPr="00DD636C">
        <w:rPr>
          <w:rFonts w:asciiTheme="minorHAnsi" w:eastAsia="Calibri" w:hAnsiTheme="minorHAnsi" w:cstheme="minorHAnsi"/>
          <w:i/>
          <w:sz w:val="22"/>
          <w:szCs w:val="22"/>
        </w:rPr>
        <w:t>Dėl galimybės įvertinti administracinio sprendimo apskundimo termino praleidimą, byloje nesant pateikto skundžiamo akto</w:t>
      </w:r>
      <w:bookmarkEnd w:id="54"/>
    </w:p>
    <w:p w14:paraId="5419441D" w14:textId="77777777" w:rsidR="00E50CAF" w:rsidRPr="00827FA0" w:rsidRDefault="00E50CAF" w:rsidP="00E50CAF">
      <w:pPr>
        <w:jc w:val="both"/>
        <w:rPr>
          <w:rFonts w:asciiTheme="minorHAnsi" w:hAnsiTheme="minorHAnsi" w:cstheme="minorHAnsi"/>
          <w:color w:val="000000"/>
          <w:sz w:val="22"/>
          <w:szCs w:val="22"/>
          <w:highlight w:val="yellow"/>
          <w:shd w:val="clear" w:color="auto" w:fill="FFFFFF"/>
        </w:rPr>
      </w:pPr>
    </w:p>
    <w:p w14:paraId="6856FFD9" w14:textId="77777777" w:rsidR="00E50CAF" w:rsidRPr="007D2A57" w:rsidRDefault="00E50CAF" w:rsidP="00E50CAF">
      <w:pPr>
        <w:ind w:firstLine="567"/>
        <w:jc w:val="both"/>
        <w:rPr>
          <w:rFonts w:asciiTheme="minorHAnsi" w:hAnsiTheme="minorHAnsi" w:cstheme="minorHAnsi"/>
          <w:color w:val="000000"/>
          <w:sz w:val="22"/>
          <w:szCs w:val="22"/>
          <w:shd w:val="clear" w:color="auto" w:fill="FFFFFF"/>
        </w:rPr>
      </w:pPr>
      <w:r w:rsidRPr="007D2A57">
        <w:rPr>
          <w:rFonts w:asciiTheme="minorHAnsi" w:hAnsiTheme="minorHAnsi" w:cstheme="minorHAnsi"/>
          <w:color w:val="000000"/>
          <w:sz w:val="22"/>
          <w:szCs w:val="22"/>
          <w:shd w:val="clear" w:color="auto" w:fill="FFFFFF"/>
        </w:rPr>
        <w:t>Pirmosios instancijos teismas atsisakė priimti pareiškėjos skundą, kuriame buvo prašoma, be kita ko, panaikinti Nacionalinės žemės tarnybos prie Aplinkos ministerijos (toliau – NŽT) 2024 m. balandžio 5 d. sprendimą</w:t>
      </w:r>
      <w:r>
        <w:rPr>
          <w:rFonts w:asciiTheme="minorHAnsi" w:hAnsiTheme="minorHAnsi" w:cstheme="minorHAnsi"/>
          <w:color w:val="000000"/>
          <w:sz w:val="22"/>
          <w:szCs w:val="22"/>
          <w:shd w:val="clear" w:color="auto" w:fill="FFFFFF"/>
        </w:rPr>
        <w:t xml:space="preserve"> (toliau – Sprendimas)</w:t>
      </w:r>
      <w:r w:rsidRPr="007D2A57">
        <w:rPr>
          <w:rFonts w:asciiTheme="minorHAnsi" w:hAnsiTheme="minorHAnsi" w:cstheme="minorHAnsi"/>
          <w:color w:val="000000"/>
          <w:sz w:val="22"/>
          <w:szCs w:val="22"/>
          <w:shd w:val="clear" w:color="auto" w:fill="FFFFFF"/>
        </w:rPr>
        <w:t>.</w:t>
      </w:r>
    </w:p>
    <w:p w14:paraId="6CA21693" w14:textId="22416E61" w:rsidR="00E50CAF" w:rsidRDefault="00E50CAF" w:rsidP="00E50CAF">
      <w:pPr>
        <w:ind w:firstLine="567"/>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Pareiškėjos skundą atsisakyta priimti</w:t>
      </w:r>
      <w:r w:rsidRPr="007D2A57">
        <w:rPr>
          <w:rFonts w:asciiTheme="minorHAnsi" w:hAnsiTheme="minorHAnsi" w:cstheme="minorHAnsi"/>
          <w:color w:val="000000"/>
          <w:sz w:val="22"/>
          <w:szCs w:val="22"/>
          <w:shd w:val="clear" w:color="auto" w:fill="FFFFFF"/>
        </w:rPr>
        <w:t xml:space="preserve"> nusta</w:t>
      </w:r>
      <w:r>
        <w:rPr>
          <w:rFonts w:asciiTheme="minorHAnsi" w:hAnsiTheme="minorHAnsi" w:cstheme="minorHAnsi"/>
          <w:color w:val="000000"/>
          <w:sz w:val="22"/>
          <w:szCs w:val="22"/>
          <w:shd w:val="clear" w:color="auto" w:fill="FFFFFF"/>
        </w:rPr>
        <w:t>čius</w:t>
      </w:r>
      <w:r w:rsidRPr="007D2A57">
        <w:rPr>
          <w:rFonts w:asciiTheme="minorHAnsi" w:hAnsiTheme="minorHAnsi" w:cstheme="minorHAnsi"/>
          <w:color w:val="000000"/>
          <w:sz w:val="22"/>
          <w:szCs w:val="22"/>
          <w:shd w:val="clear" w:color="auto" w:fill="FFFFFF"/>
        </w:rPr>
        <w:t xml:space="preserve">, kad pareiškėja praleido terminą skundui paduoti ir šis terminas neatnaujintinas. </w:t>
      </w:r>
      <w:r>
        <w:rPr>
          <w:rFonts w:asciiTheme="minorHAnsi" w:hAnsiTheme="minorHAnsi" w:cstheme="minorHAnsi"/>
          <w:color w:val="000000"/>
          <w:sz w:val="22"/>
          <w:szCs w:val="22"/>
          <w:shd w:val="clear" w:color="auto" w:fill="FFFFFF"/>
        </w:rPr>
        <w:t>Pirmosios instancijos t</w:t>
      </w:r>
      <w:r w:rsidRPr="007D2A57">
        <w:rPr>
          <w:rFonts w:asciiTheme="minorHAnsi" w:hAnsiTheme="minorHAnsi" w:cstheme="minorHAnsi"/>
          <w:color w:val="000000"/>
          <w:sz w:val="22"/>
          <w:szCs w:val="22"/>
          <w:shd w:val="clear" w:color="auto" w:fill="FFFFFF"/>
        </w:rPr>
        <w:t>eismas pažymėjo, kad pareiškėjos skundas teisme gautas 2024</w:t>
      </w:r>
      <w:r>
        <w:rPr>
          <w:rFonts w:asciiTheme="minorHAnsi" w:hAnsiTheme="minorHAnsi" w:cstheme="minorHAnsi"/>
          <w:color w:val="000000"/>
          <w:sz w:val="22"/>
          <w:szCs w:val="22"/>
          <w:shd w:val="clear" w:color="auto" w:fill="FFFFFF"/>
        </w:rPr>
        <w:t> </w:t>
      </w:r>
      <w:r w:rsidRPr="007D2A57">
        <w:rPr>
          <w:rFonts w:asciiTheme="minorHAnsi" w:hAnsiTheme="minorHAnsi" w:cstheme="minorHAnsi"/>
          <w:color w:val="000000"/>
          <w:sz w:val="22"/>
          <w:szCs w:val="22"/>
          <w:shd w:val="clear" w:color="auto" w:fill="FFFFFF"/>
        </w:rPr>
        <w:t xml:space="preserve">m. gegužės 8 d., skunde ir vėliau pateiktame patikslintame skunde pareiškėja pati nurodė, kad apie Sprendimą sužinojo 2023 m. rugsėjo 27 d., pareiškėja taip pat nurodė, kad nuo tos dienos ji kreipėsi ne vieną kartą į NŽT, prašydama šį </w:t>
      </w:r>
      <w:r>
        <w:rPr>
          <w:rFonts w:asciiTheme="minorHAnsi" w:hAnsiTheme="minorHAnsi" w:cstheme="minorHAnsi"/>
          <w:color w:val="000000"/>
          <w:sz w:val="22"/>
          <w:szCs w:val="22"/>
          <w:shd w:val="clear" w:color="auto" w:fill="FFFFFF"/>
        </w:rPr>
        <w:t>S</w:t>
      </w:r>
      <w:r w:rsidRPr="007D2A57">
        <w:rPr>
          <w:rFonts w:asciiTheme="minorHAnsi" w:hAnsiTheme="minorHAnsi" w:cstheme="minorHAnsi"/>
          <w:color w:val="000000"/>
          <w:sz w:val="22"/>
          <w:szCs w:val="22"/>
          <w:shd w:val="clear" w:color="auto" w:fill="FFFFFF"/>
        </w:rPr>
        <w:t>prendimą panaikinti</w:t>
      </w:r>
      <w:r w:rsidR="000E32BF">
        <w:rPr>
          <w:rFonts w:asciiTheme="minorHAnsi" w:hAnsiTheme="minorHAnsi" w:cstheme="minorHAnsi"/>
          <w:color w:val="000000"/>
          <w:sz w:val="22"/>
          <w:szCs w:val="22"/>
          <w:shd w:val="clear" w:color="auto" w:fill="FFFFFF"/>
        </w:rPr>
        <w:t xml:space="preserve">, tačiau </w:t>
      </w:r>
      <w:r w:rsidR="000E32BF" w:rsidRPr="000E32BF">
        <w:rPr>
          <w:rFonts w:asciiTheme="minorHAnsi" w:hAnsiTheme="minorHAnsi" w:cstheme="minorHAnsi"/>
          <w:color w:val="000000"/>
          <w:sz w:val="22"/>
          <w:szCs w:val="22"/>
          <w:shd w:val="clear" w:color="auto" w:fill="FFFFFF"/>
        </w:rPr>
        <w:t>neformulavo prašymo jai jį pateikt</w:t>
      </w:r>
      <w:r>
        <w:rPr>
          <w:rFonts w:asciiTheme="minorHAnsi" w:hAnsiTheme="minorHAnsi" w:cstheme="minorHAnsi"/>
          <w:color w:val="000000"/>
          <w:sz w:val="22"/>
          <w:szCs w:val="22"/>
          <w:shd w:val="clear" w:color="auto" w:fill="FFFFFF"/>
        </w:rPr>
        <w:t>. P</w:t>
      </w:r>
      <w:r w:rsidRPr="007D2A57">
        <w:rPr>
          <w:rFonts w:asciiTheme="minorHAnsi" w:hAnsiTheme="minorHAnsi" w:cstheme="minorHAnsi"/>
          <w:color w:val="000000"/>
          <w:sz w:val="22"/>
          <w:szCs w:val="22"/>
          <w:shd w:val="clear" w:color="auto" w:fill="FFFFFF"/>
        </w:rPr>
        <w:t>areiškėja tik pasikreipusi į teismą paprašė NŽT jai pateikti Sprendimą.</w:t>
      </w:r>
    </w:p>
    <w:p w14:paraId="2148F114" w14:textId="0C8E8335" w:rsidR="00E50CAF" w:rsidRPr="007D2A57" w:rsidRDefault="00E50CAF" w:rsidP="00E50CAF">
      <w:pPr>
        <w:ind w:firstLine="567"/>
        <w:jc w:val="both"/>
        <w:rPr>
          <w:rFonts w:asciiTheme="minorHAnsi" w:hAnsiTheme="minorHAnsi" w:cstheme="minorHAnsi"/>
          <w:color w:val="000000"/>
          <w:sz w:val="22"/>
          <w:szCs w:val="22"/>
          <w:shd w:val="clear" w:color="auto" w:fill="FFFFFF"/>
        </w:rPr>
      </w:pPr>
      <w:r w:rsidRPr="007D2A57">
        <w:rPr>
          <w:rFonts w:asciiTheme="minorHAnsi" w:hAnsiTheme="minorHAnsi" w:cstheme="minorHAnsi"/>
          <w:color w:val="000000"/>
          <w:sz w:val="22"/>
          <w:szCs w:val="22"/>
          <w:shd w:val="clear" w:color="auto" w:fill="FFFFFF"/>
        </w:rPr>
        <w:t xml:space="preserve">LVAT teisėjų kolegija </w:t>
      </w:r>
      <w:r w:rsidR="00FB1512">
        <w:rPr>
          <w:rFonts w:asciiTheme="minorHAnsi" w:hAnsiTheme="minorHAnsi" w:cstheme="minorHAnsi"/>
          <w:color w:val="000000"/>
          <w:sz w:val="22"/>
          <w:szCs w:val="22"/>
          <w:shd w:val="clear" w:color="auto" w:fill="FFFFFF"/>
        </w:rPr>
        <w:t xml:space="preserve">su pirmosios instancijos </w:t>
      </w:r>
      <w:r>
        <w:rPr>
          <w:rFonts w:asciiTheme="minorHAnsi" w:hAnsiTheme="minorHAnsi" w:cstheme="minorHAnsi"/>
          <w:color w:val="000000"/>
          <w:sz w:val="22"/>
          <w:szCs w:val="22"/>
          <w:shd w:val="clear" w:color="auto" w:fill="FFFFFF"/>
        </w:rPr>
        <w:t>teismo vertinimu nesutiko ir akcentavo</w:t>
      </w:r>
      <w:r w:rsidRPr="007D2A57">
        <w:rPr>
          <w:rFonts w:asciiTheme="minorHAnsi" w:hAnsiTheme="minorHAnsi" w:cstheme="minorHAnsi"/>
          <w:color w:val="000000"/>
          <w:sz w:val="22"/>
          <w:szCs w:val="22"/>
          <w:shd w:val="clear" w:color="auto" w:fill="FFFFFF"/>
        </w:rPr>
        <w:t xml:space="preserve">, kad būtina nustatyti akto apskundimo terminą, taip pat momentą, kada asmuo galėjo (turėjo) sužinoti apie skundžiamą sprendimą. </w:t>
      </w:r>
      <w:r w:rsidRPr="007D2A57">
        <w:rPr>
          <w:rFonts w:asciiTheme="minorHAnsi" w:hAnsiTheme="minorHAnsi" w:cstheme="minorHAnsi"/>
          <w:color w:val="000000"/>
          <w:sz w:val="22"/>
          <w:szCs w:val="22"/>
          <w:u w:val="single"/>
          <w:shd w:val="clear" w:color="auto" w:fill="FFFFFF"/>
        </w:rPr>
        <w:t>Byloje nesant Sprendimo, šių aplinkybių nustatyti nėra įmanoma, todėl pirmosios instancijos teismas nepagrįstai konstatavo, kad pareiškėja praleido terminą skundui paduoti ir šis terminas neatnaujintinas</w:t>
      </w:r>
      <w:r w:rsidR="00FB1512" w:rsidRPr="00FB1512">
        <w:rPr>
          <w:rFonts w:asciiTheme="minorHAnsi" w:hAnsiTheme="minorHAnsi" w:cstheme="minorHAnsi"/>
          <w:color w:val="000000"/>
          <w:sz w:val="22"/>
          <w:szCs w:val="22"/>
          <w:shd w:val="clear" w:color="auto" w:fill="FFFFFF"/>
        </w:rPr>
        <w:t>,</w:t>
      </w:r>
      <w:r w:rsidRPr="007D2A57">
        <w:rPr>
          <w:rFonts w:asciiTheme="minorHAnsi" w:hAnsiTheme="minorHAnsi" w:cstheme="minorHAnsi"/>
          <w:color w:val="000000"/>
          <w:sz w:val="22"/>
          <w:szCs w:val="22"/>
          <w:shd w:val="clear" w:color="auto" w:fill="FFFFFF"/>
        </w:rPr>
        <w:t xml:space="preserve"> to</w:t>
      </w:r>
      <w:r>
        <w:rPr>
          <w:rFonts w:asciiTheme="minorHAnsi" w:hAnsiTheme="minorHAnsi" w:cstheme="minorHAnsi"/>
          <w:color w:val="000000"/>
          <w:sz w:val="22"/>
          <w:szCs w:val="22"/>
          <w:shd w:val="clear" w:color="auto" w:fill="FFFFFF"/>
        </w:rPr>
        <w:t xml:space="preserve">dėl </w:t>
      </w:r>
      <w:r w:rsidRPr="007D2A57">
        <w:rPr>
          <w:rFonts w:asciiTheme="minorHAnsi" w:hAnsiTheme="minorHAnsi" w:cstheme="minorHAnsi"/>
          <w:color w:val="000000"/>
          <w:sz w:val="22"/>
          <w:szCs w:val="22"/>
          <w:shd w:val="clear" w:color="auto" w:fill="FFFFFF"/>
        </w:rPr>
        <w:t>nepagrįstai atsisakė priimti pareiškėjos skundą. Siekiant tinkamai ir visapusiškai įvertinti, ar pareiškėja praleido terminą skundui dėl Sprendimo paduoti, būtina, be kita ko, įvertinti Sprendimo turinį ir nustatyti jo apskundimo terminą, kas šiuo atveju nebuvo padaryta.</w:t>
      </w:r>
    </w:p>
    <w:p w14:paraId="0655407F" w14:textId="77777777" w:rsidR="00E50CAF" w:rsidRPr="00813326" w:rsidRDefault="00E50CAF" w:rsidP="00E50CAF">
      <w:pPr>
        <w:ind w:firstLine="567"/>
        <w:jc w:val="both"/>
        <w:rPr>
          <w:rFonts w:asciiTheme="minorHAnsi" w:hAnsiTheme="minorHAnsi" w:cstheme="minorHAnsi"/>
          <w:color w:val="000000"/>
          <w:sz w:val="22"/>
          <w:szCs w:val="22"/>
          <w:shd w:val="clear" w:color="auto" w:fill="FFFFFF"/>
        </w:rPr>
      </w:pPr>
      <w:r w:rsidRPr="00813326">
        <w:rPr>
          <w:rFonts w:asciiTheme="minorHAnsi" w:hAnsiTheme="minorHAnsi" w:cstheme="minorHAnsi"/>
          <w:color w:val="000000"/>
          <w:sz w:val="22"/>
          <w:szCs w:val="22"/>
          <w:shd w:val="clear" w:color="auto" w:fill="FFFFFF"/>
        </w:rPr>
        <w:t>Pirmosios instancijos teismo nutartis panaikinta, o pareiškėjos skundo priėmimo klausimas perduotas pirmosios instancijos teismui nagrinėti iš naujo.</w:t>
      </w:r>
    </w:p>
    <w:p w14:paraId="0F97EC68" w14:textId="77777777" w:rsidR="00E50CAF" w:rsidRPr="00813326" w:rsidRDefault="00E50CAF" w:rsidP="00E50CAF">
      <w:pPr>
        <w:jc w:val="both"/>
        <w:rPr>
          <w:rFonts w:asciiTheme="minorHAnsi" w:hAnsiTheme="minorHAnsi" w:cstheme="minorHAnsi"/>
          <w:color w:val="000000"/>
          <w:sz w:val="22"/>
          <w:szCs w:val="22"/>
          <w:shd w:val="clear" w:color="auto" w:fill="FFFFFF"/>
        </w:rPr>
      </w:pPr>
    </w:p>
    <w:p w14:paraId="525501F6" w14:textId="77777777" w:rsidR="00E50CAF" w:rsidRPr="00813326" w:rsidRDefault="00E50CAF" w:rsidP="00E50CAF">
      <w:pPr>
        <w:jc w:val="both"/>
        <w:rPr>
          <w:rFonts w:asciiTheme="minorHAnsi" w:hAnsiTheme="minorHAnsi" w:cstheme="minorHAnsi"/>
          <w:color w:val="000000"/>
          <w:sz w:val="22"/>
          <w:szCs w:val="22"/>
          <w:shd w:val="clear" w:color="auto" w:fill="FFFFFF"/>
        </w:rPr>
      </w:pPr>
      <w:r w:rsidRPr="00813326">
        <w:rPr>
          <w:rFonts w:asciiTheme="minorHAnsi" w:hAnsiTheme="minorHAnsi" w:cstheme="minorHAnsi"/>
          <w:color w:val="000000"/>
          <w:sz w:val="22"/>
          <w:szCs w:val="22"/>
          <w:shd w:val="clear" w:color="auto" w:fill="FFFFFF"/>
        </w:rPr>
        <w:t>2024 m. lapkričio 20 d. nutartis administracinėje byloje Nr. AS-514-968/2024</w:t>
      </w:r>
    </w:p>
    <w:p w14:paraId="22390C57" w14:textId="77777777" w:rsidR="00E50CAF" w:rsidRPr="00F31662" w:rsidRDefault="00E50CAF" w:rsidP="00E50CAF">
      <w:pPr>
        <w:jc w:val="both"/>
        <w:rPr>
          <w:rFonts w:asciiTheme="minorHAnsi" w:hAnsiTheme="minorHAnsi" w:cstheme="minorHAnsi"/>
          <w:color w:val="000000"/>
          <w:sz w:val="22"/>
          <w:szCs w:val="22"/>
          <w:shd w:val="clear" w:color="auto" w:fill="FFFFFF"/>
        </w:rPr>
      </w:pPr>
      <w:r w:rsidRPr="00F31662">
        <w:rPr>
          <w:rFonts w:asciiTheme="minorHAnsi" w:hAnsiTheme="minorHAnsi" w:cstheme="minorHAnsi"/>
          <w:color w:val="000000"/>
          <w:sz w:val="22"/>
          <w:szCs w:val="22"/>
          <w:shd w:val="clear" w:color="auto" w:fill="FFFFFF"/>
        </w:rPr>
        <w:t>Teisminio proceso Nr. 3-61-3-02061-2024-0</w:t>
      </w:r>
    </w:p>
    <w:p w14:paraId="3B8AEC8A" w14:textId="77777777" w:rsidR="00E50CAF" w:rsidRDefault="00E50CAF" w:rsidP="00AE2ACF">
      <w:pPr>
        <w:jc w:val="both"/>
        <w:rPr>
          <w:rStyle w:val="Hyperlink"/>
          <w:rFonts w:asciiTheme="minorHAnsi" w:hAnsiTheme="minorHAnsi" w:cstheme="minorHAnsi"/>
          <w:sz w:val="22"/>
          <w:szCs w:val="22"/>
          <w:shd w:val="clear" w:color="auto" w:fill="FFFFFF"/>
        </w:rPr>
      </w:pPr>
      <w:hyperlink r:id="rId31" w:history="1">
        <w:r w:rsidRPr="00F31662">
          <w:rPr>
            <w:rStyle w:val="Hyperlink"/>
            <w:rFonts w:asciiTheme="minorHAnsi" w:hAnsiTheme="minorHAnsi" w:cstheme="minorHAnsi"/>
            <w:sz w:val="22"/>
            <w:szCs w:val="22"/>
            <w:shd w:val="clear" w:color="auto" w:fill="FFFFFF"/>
          </w:rPr>
          <w:t>Prieiga internete</w:t>
        </w:r>
      </w:hyperlink>
    </w:p>
    <w:p w14:paraId="6172124D" w14:textId="1DD7952E" w:rsidR="00BA0495" w:rsidRPr="003756A5" w:rsidRDefault="00BA0495" w:rsidP="007825BC">
      <w:pPr>
        <w:ind w:firstLine="567"/>
        <w:jc w:val="both"/>
        <w:rPr>
          <w:rFonts w:asciiTheme="minorHAnsi" w:hAnsiTheme="minorHAnsi" w:cstheme="minorHAnsi"/>
          <w:color w:val="000000"/>
          <w:sz w:val="22"/>
          <w:szCs w:val="22"/>
          <w:shd w:val="clear" w:color="auto" w:fill="FFFFFF"/>
        </w:rPr>
      </w:pPr>
    </w:p>
    <w:p w14:paraId="07702011" w14:textId="77777777" w:rsidR="00883D4C" w:rsidRPr="009256A8" w:rsidRDefault="00883D4C" w:rsidP="00883D4C">
      <w:pPr>
        <w:pStyle w:val="Apzvalgai1"/>
        <w:rPr>
          <w:rFonts w:asciiTheme="minorHAnsi" w:hAnsiTheme="minorHAnsi" w:cstheme="minorHAnsi"/>
        </w:rPr>
      </w:pPr>
      <w:bookmarkStart w:id="55" w:name="_Toc774958"/>
      <w:bookmarkStart w:id="56" w:name="_Toc187075163"/>
      <w:r w:rsidRPr="009256A8">
        <w:rPr>
          <w:rFonts w:asciiTheme="minorHAnsi" w:hAnsiTheme="minorHAnsi" w:cstheme="minorHAnsi"/>
        </w:rPr>
        <w:t>49. Reikalavimo užtikrinimo priemonių taikymas</w:t>
      </w:r>
      <w:bookmarkEnd w:id="55"/>
      <w:bookmarkEnd w:id="56"/>
    </w:p>
    <w:p w14:paraId="738AEAAA" w14:textId="77777777" w:rsidR="00883D4C" w:rsidRPr="00883D4C" w:rsidRDefault="00883D4C" w:rsidP="00883D4C">
      <w:pPr>
        <w:pStyle w:val="NoSpacing"/>
        <w:rPr>
          <w:rFonts w:asciiTheme="minorHAnsi" w:hAnsiTheme="minorHAnsi" w:cstheme="minorHAnsi"/>
          <w:highlight w:val="yellow"/>
          <w:lang w:eastAsia="lt-LT"/>
        </w:rPr>
      </w:pPr>
    </w:p>
    <w:p w14:paraId="2705CD61" w14:textId="77777777" w:rsidR="000B4BAF" w:rsidRPr="00883D4C" w:rsidRDefault="000B4BAF" w:rsidP="00883D4C">
      <w:pPr>
        <w:pStyle w:val="paragraph"/>
        <w:spacing w:before="0" w:beforeAutospacing="0" w:after="0" w:afterAutospacing="0"/>
        <w:ind w:firstLine="567"/>
        <w:jc w:val="both"/>
        <w:textAlignment w:val="baseline"/>
        <w:rPr>
          <w:rFonts w:asciiTheme="minorHAnsi" w:hAnsiTheme="minorHAnsi" w:cstheme="minorHAnsi"/>
          <w:sz w:val="22"/>
          <w:szCs w:val="22"/>
        </w:rPr>
      </w:pPr>
    </w:p>
    <w:p w14:paraId="7062855C" w14:textId="2AF4F011" w:rsidR="00883D4C" w:rsidRPr="00883D4C" w:rsidRDefault="00883D4C" w:rsidP="00883D4C">
      <w:pPr>
        <w:jc w:val="both"/>
        <w:outlineLvl w:val="1"/>
        <w:rPr>
          <w:rFonts w:asciiTheme="minorHAnsi" w:eastAsia="Calibri" w:hAnsiTheme="minorHAnsi" w:cstheme="minorHAnsi"/>
          <w:i/>
          <w:sz w:val="22"/>
          <w:szCs w:val="22"/>
        </w:rPr>
      </w:pPr>
      <w:bookmarkStart w:id="57" w:name="_Toc187075164"/>
      <w:r w:rsidRPr="00883D4C">
        <w:rPr>
          <w:rFonts w:asciiTheme="minorHAnsi" w:eastAsia="Calibri" w:hAnsiTheme="minorHAnsi" w:cstheme="minorHAnsi"/>
          <w:i/>
          <w:sz w:val="22"/>
          <w:szCs w:val="22"/>
        </w:rPr>
        <w:lastRenderedPageBreak/>
        <w:t>Dėl reikalavimo užtikrinimo priemonės – uždraudimo grąžinti ir / ar išsiųsti užsienietį iš Lietuvos Respublikos – taikymo nagrinėjant bylą dėl leidimo laikinai gyventi Lietuvos Respublikoje panaikinimo teisėtumo</w:t>
      </w:r>
      <w:bookmarkEnd w:id="57"/>
    </w:p>
    <w:p w14:paraId="0EA31E39" w14:textId="77777777" w:rsidR="00883D4C" w:rsidRPr="00883D4C" w:rsidRDefault="00883D4C" w:rsidP="00883D4C">
      <w:pPr>
        <w:pStyle w:val="paragraph"/>
        <w:spacing w:before="0" w:beforeAutospacing="0" w:after="0" w:afterAutospacing="0"/>
        <w:ind w:firstLine="567"/>
        <w:jc w:val="both"/>
        <w:textAlignment w:val="baseline"/>
        <w:rPr>
          <w:rFonts w:asciiTheme="minorHAnsi" w:hAnsiTheme="minorHAnsi" w:cstheme="minorHAnsi"/>
          <w:sz w:val="22"/>
          <w:szCs w:val="22"/>
        </w:rPr>
      </w:pPr>
    </w:p>
    <w:p w14:paraId="22CB37AB" w14:textId="34E870AD" w:rsidR="00883D4C" w:rsidRPr="00883D4C" w:rsidRDefault="00883D4C" w:rsidP="00883D4C">
      <w:pPr>
        <w:pStyle w:val="paragraph"/>
        <w:spacing w:before="0" w:beforeAutospacing="0" w:after="0" w:afterAutospacing="0"/>
        <w:ind w:firstLine="567"/>
        <w:jc w:val="both"/>
        <w:textAlignment w:val="baseline"/>
        <w:rPr>
          <w:rFonts w:asciiTheme="minorHAnsi" w:hAnsiTheme="minorHAnsi" w:cstheme="minorHAnsi"/>
          <w:sz w:val="22"/>
          <w:szCs w:val="22"/>
        </w:rPr>
      </w:pPr>
      <w:r w:rsidRPr="00883D4C">
        <w:rPr>
          <w:rFonts w:asciiTheme="minorHAnsi" w:hAnsiTheme="minorHAnsi" w:cstheme="minorHAnsi"/>
          <w:sz w:val="22"/>
          <w:szCs w:val="22"/>
        </w:rPr>
        <w:t xml:space="preserve">Apžvelgiamoje byloje pirmosios instancijos teismas netenkino pareiškėjo Rusijos Federacijos piliečio prašymo taikyti reikalavimo užtikrinimo priemonę – sustabdyti </w:t>
      </w:r>
      <w:r w:rsidRPr="00883D4C">
        <w:rPr>
          <w:rStyle w:val="normaltextrun"/>
          <w:rFonts w:asciiTheme="minorHAnsi" w:hAnsiTheme="minorHAnsi" w:cstheme="minorHAnsi"/>
          <w:sz w:val="22"/>
          <w:szCs w:val="22"/>
        </w:rPr>
        <w:t>M</w:t>
      </w:r>
      <w:r w:rsidR="00961864">
        <w:rPr>
          <w:rStyle w:val="normaltextrun"/>
          <w:rFonts w:asciiTheme="minorHAnsi" w:hAnsiTheme="minorHAnsi" w:cstheme="minorHAnsi"/>
          <w:sz w:val="22"/>
          <w:szCs w:val="22"/>
        </w:rPr>
        <w:t xml:space="preserve">D </w:t>
      </w:r>
      <w:r w:rsidRPr="00883D4C">
        <w:rPr>
          <w:rFonts w:asciiTheme="minorHAnsi" w:hAnsiTheme="minorHAnsi" w:cstheme="minorHAnsi"/>
          <w:sz w:val="22"/>
          <w:szCs w:val="22"/>
        </w:rPr>
        <w:t>sprendimo panaikinti jam išduotą leidimą laikinai gyventi Lietuvos Respublikoje (toliau – Sprendimas) galiojimą iki kol bus priimtas galutinis sprendimas šioje byloje. Pirmosios instancijos teismas sprendė, jog pareiškėjas neįrodė, kad nepritaikius jo prašomos reikalavimo užtikrinimo priemonės jam bus padaryta neatitaisoma arba sunkiai atitaisoma didelė žala.</w:t>
      </w:r>
    </w:p>
    <w:p w14:paraId="69234F1F" w14:textId="24428237" w:rsidR="00883D4C" w:rsidRPr="00883D4C" w:rsidRDefault="00883D4C" w:rsidP="00883D4C">
      <w:pPr>
        <w:pStyle w:val="paragraph"/>
        <w:spacing w:before="0" w:beforeAutospacing="0" w:after="0" w:afterAutospacing="0"/>
        <w:ind w:firstLine="567"/>
        <w:jc w:val="both"/>
        <w:textAlignment w:val="baseline"/>
        <w:rPr>
          <w:rFonts w:asciiTheme="minorHAnsi" w:hAnsiTheme="minorHAnsi" w:cstheme="minorHAnsi"/>
          <w:sz w:val="22"/>
          <w:szCs w:val="22"/>
        </w:rPr>
      </w:pPr>
      <w:r w:rsidRPr="00883D4C">
        <w:rPr>
          <w:rFonts w:asciiTheme="minorHAnsi" w:hAnsiTheme="minorHAnsi" w:cstheme="minorHAnsi"/>
          <w:sz w:val="22"/>
          <w:szCs w:val="22"/>
        </w:rPr>
        <w:t xml:space="preserve">Pareiškėjas teigė, kad pagal pasikeitusį teisinį reguliavimą skundo pateikimas teismui Sprendimo vykdymo nesustabdo, todėl jis, grąžinęs </w:t>
      </w:r>
      <w:r w:rsidR="00E71768">
        <w:rPr>
          <w:rFonts w:asciiTheme="minorHAnsi" w:hAnsiTheme="minorHAnsi" w:cstheme="minorHAnsi"/>
          <w:sz w:val="22"/>
          <w:szCs w:val="22"/>
        </w:rPr>
        <w:t>M</w:t>
      </w:r>
      <w:r w:rsidRPr="00883D4C">
        <w:rPr>
          <w:rFonts w:asciiTheme="minorHAnsi" w:hAnsiTheme="minorHAnsi" w:cstheme="minorHAnsi"/>
          <w:sz w:val="22"/>
          <w:szCs w:val="22"/>
        </w:rPr>
        <w:t>D panaikinto leidimo kortelę, turės išvykti iš Lietuvos Respublikos į Rusijos Federaciją, kurioje jam gresia persekiojimas dėl Ukrainos rėmimo ir kurioje jis neturi jokios gyvenamosios vietos, tokiu būdu pareiškėjas bus atskirtas nuo šeimos narių, gyvenančių Lietuvoje leidimų nuolat gyventi Lietuvos Respublikoje pagrindu. Pareiškėjo teigimu, netaikius reikalavimo užtikrinimo priemonės</w:t>
      </w:r>
      <w:r w:rsidR="00DD30FA">
        <w:rPr>
          <w:rFonts w:asciiTheme="minorHAnsi" w:hAnsiTheme="minorHAnsi" w:cstheme="minorHAnsi"/>
          <w:sz w:val="22"/>
          <w:szCs w:val="22"/>
        </w:rPr>
        <w:t>,</w:t>
      </w:r>
      <w:r w:rsidRPr="00883D4C">
        <w:rPr>
          <w:rFonts w:asciiTheme="minorHAnsi" w:hAnsiTheme="minorHAnsi" w:cstheme="minorHAnsi"/>
          <w:sz w:val="22"/>
          <w:szCs w:val="22"/>
        </w:rPr>
        <w:t xml:space="preserve"> jam, jo verslui ir šeimos nariams bus padaryta neatitaisoma žala.</w:t>
      </w:r>
    </w:p>
    <w:p w14:paraId="0A9F345A" w14:textId="695CF6A1" w:rsidR="00883D4C" w:rsidRPr="00883D4C" w:rsidRDefault="00ED18B6" w:rsidP="00883D4C">
      <w:pPr>
        <w:pStyle w:val="paragraph"/>
        <w:spacing w:before="0" w:beforeAutospacing="0" w:after="0" w:afterAutospacing="0"/>
        <w:ind w:firstLine="567"/>
        <w:jc w:val="both"/>
        <w:textAlignment w:val="baseline"/>
        <w:rPr>
          <w:rFonts w:asciiTheme="minorHAnsi" w:hAnsiTheme="minorHAnsi" w:cstheme="minorHAnsi"/>
          <w:sz w:val="22"/>
          <w:szCs w:val="22"/>
        </w:rPr>
      </w:pPr>
      <w:r>
        <w:rPr>
          <w:rFonts w:asciiTheme="minorHAnsi" w:hAnsiTheme="minorHAnsi" w:cstheme="minorHAnsi"/>
          <w:sz w:val="22"/>
          <w:szCs w:val="22"/>
        </w:rPr>
        <w:t>LVAT t</w:t>
      </w:r>
      <w:r w:rsidR="00883D4C" w:rsidRPr="00883D4C">
        <w:rPr>
          <w:rFonts w:asciiTheme="minorHAnsi" w:hAnsiTheme="minorHAnsi" w:cstheme="minorHAnsi"/>
          <w:sz w:val="22"/>
          <w:szCs w:val="22"/>
        </w:rPr>
        <w:t>eisėjų kolegija pažymėjo, jog pagal šiuo metu galiojantį teisinį reguliavimą sprendimo dėl išduoto leidimo laikinai gyventi Lietuvos Respublikoje panaikinimo apskundimas teismui jo vykdymo savaime nesustabdo: apskųsto sprendimo vykdymas gali būti sustabdomas Regionų administracinio teismo nutartimi dėl reikalavimo užtikrinimo priemonių.</w:t>
      </w:r>
    </w:p>
    <w:p w14:paraId="18A81D3D" w14:textId="229FE067" w:rsidR="00883D4C" w:rsidRPr="00883D4C" w:rsidRDefault="00883D4C" w:rsidP="00883D4C">
      <w:pPr>
        <w:pStyle w:val="paragraph"/>
        <w:spacing w:before="0" w:beforeAutospacing="0" w:after="0" w:afterAutospacing="0"/>
        <w:ind w:firstLine="567"/>
        <w:jc w:val="both"/>
        <w:textAlignment w:val="baseline"/>
        <w:rPr>
          <w:rFonts w:asciiTheme="minorHAnsi" w:hAnsiTheme="minorHAnsi" w:cstheme="minorHAnsi"/>
          <w:sz w:val="22"/>
          <w:szCs w:val="22"/>
        </w:rPr>
      </w:pPr>
      <w:r w:rsidRPr="00883D4C">
        <w:rPr>
          <w:rFonts w:asciiTheme="minorHAnsi" w:hAnsiTheme="minorHAnsi" w:cstheme="minorHAnsi"/>
          <w:sz w:val="22"/>
          <w:szCs w:val="22"/>
        </w:rPr>
        <w:t>Nustatyta, jog pagal pareiškėjo pateiktus duomenis pareiškėjas beveik 14 metų gyvena ir dirba Lietuvoje, kurioje jis yra deklaravęs savo gyvenamąją vietą, pareiškėjas turi savo verslą – įmonę, iš kurios gauna pajamų, pareiškėjui priklauso 45 proc</w:t>
      </w:r>
      <w:r w:rsidR="00DD30FA">
        <w:rPr>
          <w:rFonts w:asciiTheme="minorHAnsi" w:hAnsiTheme="minorHAnsi" w:cstheme="minorHAnsi"/>
          <w:sz w:val="22"/>
          <w:szCs w:val="22"/>
        </w:rPr>
        <w:t>.</w:t>
      </w:r>
      <w:r w:rsidRPr="00883D4C">
        <w:rPr>
          <w:rFonts w:asciiTheme="minorHAnsi" w:hAnsiTheme="minorHAnsi" w:cstheme="minorHAnsi"/>
          <w:sz w:val="22"/>
          <w:szCs w:val="22"/>
        </w:rPr>
        <w:t xml:space="preserve"> įmonės akcijų, Lietuvoje gyvena jo sutuoktinė, kuri dirba įmonės direktore, ir nepilnametis sūnus, kuris mokosi mokykloje.</w:t>
      </w:r>
    </w:p>
    <w:p w14:paraId="04767E03" w14:textId="41BB78DC" w:rsidR="00883D4C" w:rsidRPr="00883D4C" w:rsidRDefault="00883D4C" w:rsidP="00883D4C">
      <w:pPr>
        <w:pStyle w:val="paragraph"/>
        <w:spacing w:before="0" w:beforeAutospacing="0" w:after="0" w:afterAutospacing="0"/>
        <w:ind w:firstLine="567"/>
        <w:jc w:val="both"/>
        <w:textAlignment w:val="baseline"/>
        <w:rPr>
          <w:rFonts w:asciiTheme="minorHAnsi" w:hAnsiTheme="minorHAnsi" w:cstheme="minorHAnsi"/>
          <w:sz w:val="22"/>
          <w:szCs w:val="22"/>
        </w:rPr>
      </w:pPr>
      <w:r w:rsidRPr="00883D4C">
        <w:rPr>
          <w:rFonts w:asciiTheme="minorHAnsi" w:hAnsiTheme="minorHAnsi" w:cstheme="minorHAnsi"/>
          <w:sz w:val="22"/>
          <w:szCs w:val="22"/>
        </w:rPr>
        <w:t xml:space="preserve">Teisėjų kolegija, įvertinusi pareiškėjui išduoto </w:t>
      </w:r>
      <w:r w:rsidR="00350959">
        <w:rPr>
          <w:rFonts w:asciiTheme="minorHAnsi" w:hAnsiTheme="minorHAnsi" w:cstheme="minorHAnsi"/>
          <w:sz w:val="22"/>
          <w:szCs w:val="22"/>
        </w:rPr>
        <w:t>l</w:t>
      </w:r>
      <w:r w:rsidRPr="00883D4C">
        <w:rPr>
          <w:rFonts w:asciiTheme="minorHAnsi" w:hAnsiTheme="minorHAnsi" w:cstheme="minorHAnsi"/>
          <w:sz w:val="22"/>
          <w:szCs w:val="22"/>
        </w:rPr>
        <w:t xml:space="preserve">eidimo reikšmę jo teisėtam buvimui Lietuvos Respublikoje ir </w:t>
      </w:r>
      <w:r w:rsidR="00350959">
        <w:rPr>
          <w:rFonts w:asciiTheme="minorHAnsi" w:hAnsiTheme="minorHAnsi" w:cstheme="minorHAnsi"/>
          <w:sz w:val="22"/>
          <w:szCs w:val="22"/>
        </w:rPr>
        <w:t>M</w:t>
      </w:r>
      <w:r w:rsidRPr="00883D4C">
        <w:rPr>
          <w:rFonts w:asciiTheme="minorHAnsi" w:hAnsiTheme="minorHAnsi" w:cstheme="minorHAnsi"/>
          <w:sz w:val="22"/>
          <w:szCs w:val="22"/>
        </w:rPr>
        <w:t xml:space="preserve">D Sprendimu, kuriuo panaikintas </w:t>
      </w:r>
      <w:r w:rsidR="00350959">
        <w:rPr>
          <w:rFonts w:asciiTheme="minorHAnsi" w:hAnsiTheme="minorHAnsi" w:cstheme="minorHAnsi"/>
          <w:sz w:val="22"/>
          <w:szCs w:val="22"/>
        </w:rPr>
        <w:t>l</w:t>
      </w:r>
      <w:r w:rsidRPr="00883D4C">
        <w:rPr>
          <w:rFonts w:asciiTheme="minorHAnsi" w:hAnsiTheme="minorHAnsi" w:cstheme="minorHAnsi"/>
          <w:sz w:val="22"/>
          <w:szCs w:val="22"/>
        </w:rPr>
        <w:t xml:space="preserve">eidimas, sukeliamus teisinius padarinius, t. y. kad pareiškėjas, neįsiteisėjus galutiniam teismo sprendimui dėl </w:t>
      </w:r>
      <w:r w:rsidR="00174476">
        <w:rPr>
          <w:rFonts w:asciiTheme="minorHAnsi" w:hAnsiTheme="minorHAnsi" w:cstheme="minorHAnsi"/>
          <w:sz w:val="22"/>
          <w:szCs w:val="22"/>
        </w:rPr>
        <w:t>M</w:t>
      </w:r>
      <w:r w:rsidRPr="00883D4C">
        <w:rPr>
          <w:rFonts w:asciiTheme="minorHAnsi" w:hAnsiTheme="minorHAnsi" w:cstheme="minorHAnsi"/>
          <w:sz w:val="22"/>
          <w:szCs w:val="22"/>
        </w:rPr>
        <w:t>D Sprendimo pagrįstumo ir teisėtumo, gali būti grąžintas arba išsiųstas iš Lietuvos Respublikos į kilmės valstybę, dėl to nukentėtų pareiškėjo šeimos interesai, taip pat atsižvelgusi į tai, kad administracinė byla dėl ginčo esmės bus nagrinėjama 2024 m. lapkričio 27 d. (paskirtas teismo posėdis), nesant duomenų, kad pareiškėjas, prašydamas taikyti reikalavimo užtikrinimo priemonę, piktnaudžiautų procesu, sprendė, kad šiuo atveju, netaikant reikalavimo užtikrinimo priemonės (draudimo grąžinti ir /</w:t>
      </w:r>
      <w:r w:rsidR="00FA7556">
        <w:rPr>
          <w:rFonts w:asciiTheme="minorHAnsi" w:hAnsiTheme="minorHAnsi" w:cstheme="minorHAnsi"/>
          <w:sz w:val="22"/>
          <w:szCs w:val="22"/>
        </w:rPr>
        <w:t xml:space="preserve"> </w:t>
      </w:r>
      <w:r w:rsidRPr="00883D4C">
        <w:rPr>
          <w:rFonts w:asciiTheme="minorHAnsi" w:hAnsiTheme="minorHAnsi" w:cstheme="minorHAnsi"/>
          <w:sz w:val="22"/>
          <w:szCs w:val="22"/>
        </w:rPr>
        <w:t>ar išsiųsti pareiškėją iš Lietuvos Respublikos), gali būti padaryta neatitaisoma arba sunkiai atitaisoma didelė žala pareiškėjui ir jo šeimos nariui (nepilnamečiam vaikui).</w:t>
      </w:r>
    </w:p>
    <w:p w14:paraId="50CCEC31" w14:textId="77777777" w:rsidR="00883D4C" w:rsidRPr="00883D4C" w:rsidRDefault="00883D4C" w:rsidP="00883D4C">
      <w:pPr>
        <w:pStyle w:val="paragraph"/>
        <w:spacing w:before="0" w:beforeAutospacing="0" w:after="0" w:afterAutospacing="0"/>
        <w:ind w:firstLine="567"/>
        <w:jc w:val="both"/>
        <w:textAlignment w:val="baseline"/>
        <w:rPr>
          <w:rFonts w:asciiTheme="minorHAnsi" w:hAnsiTheme="minorHAnsi" w:cstheme="minorHAnsi"/>
          <w:sz w:val="22"/>
          <w:szCs w:val="22"/>
        </w:rPr>
      </w:pPr>
      <w:r w:rsidRPr="00883D4C">
        <w:rPr>
          <w:rFonts w:asciiTheme="minorHAnsi" w:hAnsiTheme="minorHAnsi" w:cstheme="minorHAnsi"/>
          <w:sz w:val="22"/>
          <w:szCs w:val="22"/>
        </w:rPr>
        <w:t>Teisėjų kolegija darė išvadą, kad yra pagrindas iš dalies tenkinti pareiškėjo atskirąjį skundą ir taikyti reikalavimo užtikrinimo priemonę, kuria būtų uždrausta grąžinti ir / ar išsiųsti pareiškėją iš Lietuvos Respublikos į Rusijos Federaciją iki kol bus išnagrinėta ši administracinė byla ir įsiteisės byloje priimtas procesinis sprendimas (ABTĮ 70 str. 3 d. 1 p.).</w:t>
      </w:r>
    </w:p>
    <w:p w14:paraId="608DE8FE" w14:textId="7991D7C6" w:rsidR="00883D4C" w:rsidRPr="00883D4C" w:rsidRDefault="00883D4C" w:rsidP="00883D4C">
      <w:pPr>
        <w:pStyle w:val="paragraph"/>
        <w:spacing w:before="0" w:beforeAutospacing="0" w:after="0" w:afterAutospacing="0"/>
        <w:ind w:firstLine="567"/>
        <w:jc w:val="both"/>
        <w:textAlignment w:val="baseline"/>
        <w:rPr>
          <w:rFonts w:asciiTheme="minorHAnsi" w:hAnsiTheme="minorHAnsi" w:cstheme="minorHAnsi"/>
          <w:sz w:val="22"/>
          <w:szCs w:val="22"/>
        </w:rPr>
      </w:pPr>
      <w:r w:rsidRPr="00883D4C">
        <w:rPr>
          <w:rFonts w:asciiTheme="minorHAnsi" w:hAnsiTheme="minorHAnsi" w:cstheme="minorHAnsi"/>
          <w:sz w:val="22"/>
          <w:szCs w:val="22"/>
        </w:rPr>
        <w:t xml:space="preserve">Teisėjų kolegijos vertinimu, pareiškėjas neįrodė, kad nagrinėtu atveju buvo būtina sustabdyti viso Sprendimo galiojimą, t. y. leisti pareiškėjui ir toliau dirbti Lietuvoje </w:t>
      </w:r>
      <w:r w:rsidR="00593C20">
        <w:rPr>
          <w:rFonts w:asciiTheme="minorHAnsi" w:hAnsiTheme="minorHAnsi" w:cstheme="minorHAnsi"/>
          <w:sz w:val="22"/>
          <w:szCs w:val="22"/>
        </w:rPr>
        <w:t>l</w:t>
      </w:r>
      <w:r w:rsidRPr="00883D4C">
        <w:rPr>
          <w:rFonts w:asciiTheme="minorHAnsi" w:hAnsiTheme="minorHAnsi" w:cstheme="minorHAnsi"/>
          <w:sz w:val="22"/>
          <w:szCs w:val="22"/>
        </w:rPr>
        <w:t xml:space="preserve">eidimo pagrindu. Pareiškėjas nenurodė jokių išskirtinių aplinkybių ir argumentų, kurie patvirtintų, jog nesustabdžius Sprendimo galiojimo (neleidus pareiškėjui toliau dirbti </w:t>
      </w:r>
      <w:r w:rsidR="00593C20">
        <w:rPr>
          <w:rFonts w:asciiTheme="minorHAnsi" w:hAnsiTheme="minorHAnsi" w:cstheme="minorHAnsi"/>
          <w:sz w:val="22"/>
          <w:szCs w:val="22"/>
        </w:rPr>
        <w:t>l</w:t>
      </w:r>
      <w:r w:rsidRPr="00883D4C">
        <w:rPr>
          <w:rFonts w:asciiTheme="minorHAnsi" w:hAnsiTheme="minorHAnsi" w:cstheme="minorHAnsi"/>
          <w:sz w:val="22"/>
          <w:szCs w:val="22"/>
        </w:rPr>
        <w:t>eidimo pagrindu) jam gali būti padaryta neatitaisoma arba sunkiai atitaisoma didelė žala.</w:t>
      </w:r>
    </w:p>
    <w:p w14:paraId="3F304645" w14:textId="536C024F" w:rsidR="00883D4C" w:rsidRPr="00883D4C" w:rsidRDefault="00883D4C" w:rsidP="00883D4C">
      <w:pPr>
        <w:pStyle w:val="paragraph"/>
        <w:spacing w:before="0" w:beforeAutospacing="0" w:after="0" w:afterAutospacing="0"/>
        <w:ind w:firstLine="567"/>
        <w:jc w:val="both"/>
        <w:textAlignment w:val="baseline"/>
        <w:rPr>
          <w:rFonts w:asciiTheme="minorHAnsi" w:hAnsiTheme="minorHAnsi" w:cstheme="minorHAnsi"/>
          <w:sz w:val="22"/>
          <w:szCs w:val="22"/>
        </w:rPr>
      </w:pPr>
      <w:r w:rsidRPr="00883D4C">
        <w:rPr>
          <w:rFonts w:asciiTheme="minorHAnsi" w:hAnsiTheme="minorHAnsi" w:cstheme="minorHAnsi"/>
          <w:sz w:val="22"/>
          <w:szCs w:val="22"/>
        </w:rPr>
        <w:t xml:space="preserve">Pareiškėjo teiginiai ir pateikti įrodymai, susiję su jam galbūt kilsiančia grėsme grįžimo į kilmės valstybę atveju dėl Ukrainos rėmimo, nepripažinti teisiškai reikšmingais, sprendžiant klausimą dėl reikalavimo užtikrinimo priemonės taikymo, nes panaikinto </w:t>
      </w:r>
      <w:r w:rsidR="00593C20">
        <w:rPr>
          <w:rFonts w:asciiTheme="minorHAnsi" w:hAnsiTheme="minorHAnsi" w:cstheme="minorHAnsi"/>
          <w:sz w:val="22"/>
          <w:szCs w:val="22"/>
        </w:rPr>
        <w:t>l</w:t>
      </w:r>
      <w:r w:rsidRPr="00883D4C">
        <w:rPr>
          <w:rFonts w:asciiTheme="minorHAnsi" w:hAnsiTheme="minorHAnsi" w:cstheme="minorHAnsi"/>
          <w:sz w:val="22"/>
          <w:szCs w:val="22"/>
        </w:rPr>
        <w:t>eidimo išdavimas nebuvo susijęs su jam kilusia grėsme kilmės šalyje.</w:t>
      </w:r>
    </w:p>
    <w:p w14:paraId="3A04916B" w14:textId="3CD3744E" w:rsidR="00883D4C" w:rsidRPr="00883D4C" w:rsidRDefault="00883D4C" w:rsidP="00883D4C">
      <w:pPr>
        <w:pStyle w:val="paragraph"/>
        <w:spacing w:before="0" w:beforeAutospacing="0" w:after="0" w:afterAutospacing="0"/>
        <w:ind w:firstLine="567"/>
        <w:jc w:val="both"/>
        <w:textAlignment w:val="baseline"/>
        <w:rPr>
          <w:rFonts w:asciiTheme="minorHAnsi" w:hAnsiTheme="minorHAnsi" w:cstheme="minorHAnsi"/>
          <w:sz w:val="22"/>
          <w:szCs w:val="22"/>
        </w:rPr>
      </w:pPr>
      <w:r w:rsidRPr="00883D4C">
        <w:rPr>
          <w:rFonts w:asciiTheme="minorHAnsi" w:hAnsiTheme="minorHAnsi" w:cstheme="minorHAnsi"/>
          <w:sz w:val="22"/>
          <w:szCs w:val="22"/>
        </w:rPr>
        <w:t xml:space="preserve">Pirmosios instancijos teismo nutarties dalis, kuria netenkintas prašymas taikyti reikalavimo užtikrinimo priemonę, panaikinta ir taikyta reikalavimo užtikrinimo priemonė, kuria uždrausta </w:t>
      </w:r>
      <w:r w:rsidR="00593C20">
        <w:rPr>
          <w:rFonts w:asciiTheme="minorHAnsi" w:hAnsiTheme="minorHAnsi" w:cstheme="minorHAnsi"/>
          <w:sz w:val="22"/>
          <w:szCs w:val="22"/>
        </w:rPr>
        <w:t>M</w:t>
      </w:r>
      <w:r w:rsidRPr="00883D4C">
        <w:rPr>
          <w:rFonts w:asciiTheme="minorHAnsi" w:hAnsiTheme="minorHAnsi" w:cstheme="minorHAnsi"/>
          <w:sz w:val="22"/>
          <w:szCs w:val="22"/>
        </w:rPr>
        <w:t>D ir V</w:t>
      </w:r>
      <w:r w:rsidR="00593C20">
        <w:rPr>
          <w:rFonts w:asciiTheme="minorHAnsi" w:hAnsiTheme="minorHAnsi" w:cstheme="minorHAnsi"/>
          <w:sz w:val="22"/>
          <w:szCs w:val="22"/>
        </w:rPr>
        <w:t>SAT</w:t>
      </w:r>
      <w:r w:rsidRPr="00883D4C">
        <w:rPr>
          <w:rFonts w:asciiTheme="minorHAnsi" w:hAnsiTheme="minorHAnsi" w:cstheme="minorHAnsi"/>
          <w:sz w:val="22"/>
          <w:szCs w:val="22"/>
        </w:rPr>
        <w:t xml:space="preserve"> grąžinti ir / ar išsiųsti pareiškėją iš Lietuvos Respublikos į Rusijos Federaciją iki kol bus išnagrinėta ši administracinė byla ir įsiteisės joje priimtas procesinis sprendimas. Kita pirmosios instancijos teismo nutarties dalis palikta nepakeista.</w:t>
      </w:r>
    </w:p>
    <w:p w14:paraId="5C4B933B" w14:textId="77777777" w:rsidR="00883D4C" w:rsidRPr="00883D4C" w:rsidRDefault="00883D4C" w:rsidP="00883D4C">
      <w:pPr>
        <w:pStyle w:val="paragraph"/>
        <w:spacing w:before="0" w:beforeAutospacing="0" w:after="0" w:afterAutospacing="0"/>
        <w:ind w:firstLine="567"/>
        <w:jc w:val="both"/>
        <w:textAlignment w:val="baseline"/>
        <w:rPr>
          <w:rFonts w:asciiTheme="minorHAnsi" w:hAnsiTheme="minorHAnsi" w:cstheme="minorHAnsi"/>
          <w:sz w:val="22"/>
          <w:szCs w:val="22"/>
        </w:rPr>
      </w:pPr>
    </w:p>
    <w:p w14:paraId="5A5C24B6" w14:textId="77777777" w:rsidR="00883D4C" w:rsidRPr="00883D4C" w:rsidRDefault="00883D4C" w:rsidP="00883D4C">
      <w:pPr>
        <w:pStyle w:val="paragraph"/>
        <w:spacing w:before="0" w:beforeAutospacing="0" w:after="0" w:afterAutospacing="0"/>
        <w:jc w:val="both"/>
        <w:textAlignment w:val="baseline"/>
        <w:rPr>
          <w:rStyle w:val="normaltextrun"/>
          <w:rFonts w:asciiTheme="minorHAnsi" w:hAnsiTheme="minorHAnsi" w:cstheme="minorHAnsi"/>
          <w:sz w:val="22"/>
          <w:szCs w:val="22"/>
        </w:rPr>
      </w:pPr>
      <w:r w:rsidRPr="00883D4C">
        <w:rPr>
          <w:rStyle w:val="normaltextrun"/>
          <w:rFonts w:asciiTheme="minorHAnsi" w:hAnsiTheme="minorHAnsi" w:cstheme="minorHAnsi"/>
          <w:sz w:val="22"/>
          <w:szCs w:val="22"/>
        </w:rPr>
        <w:t>2024 m. lapkričio 20 d. nutartis administracinėje byloje Nr. eAS-777-520/2024</w:t>
      </w:r>
    </w:p>
    <w:p w14:paraId="1BF931A3" w14:textId="77777777" w:rsidR="00883D4C" w:rsidRPr="00883D4C" w:rsidRDefault="00883D4C" w:rsidP="00883D4C">
      <w:pPr>
        <w:pStyle w:val="paragraph"/>
        <w:spacing w:before="0" w:beforeAutospacing="0" w:after="0" w:afterAutospacing="0"/>
        <w:jc w:val="both"/>
        <w:textAlignment w:val="baseline"/>
        <w:rPr>
          <w:rFonts w:asciiTheme="minorHAnsi" w:hAnsiTheme="minorHAnsi" w:cstheme="minorHAnsi"/>
          <w:sz w:val="22"/>
          <w:szCs w:val="22"/>
        </w:rPr>
      </w:pPr>
      <w:r w:rsidRPr="00883D4C">
        <w:rPr>
          <w:rStyle w:val="normaltextrun"/>
          <w:rFonts w:asciiTheme="minorHAnsi" w:hAnsiTheme="minorHAnsi" w:cstheme="minorHAnsi"/>
          <w:sz w:val="22"/>
          <w:szCs w:val="22"/>
        </w:rPr>
        <w:t xml:space="preserve">Teisminio proceso Nr. </w:t>
      </w:r>
      <w:r w:rsidRPr="00883D4C">
        <w:rPr>
          <w:rFonts w:asciiTheme="minorHAnsi" w:hAnsiTheme="minorHAnsi" w:cstheme="minorHAnsi"/>
          <w:sz w:val="22"/>
          <w:szCs w:val="22"/>
        </w:rPr>
        <w:t>3-63-3-01098-2024-1</w:t>
      </w:r>
    </w:p>
    <w:p w14:paraId="224B2A8B" w14:textId="061E03F8" w:rsidR="00075B43" w:rsidRPr="00883D4C" w:rsidRDefault="00883D4C" w:rsidP="00883D4C">
      <w:pPr>
        <w:jc w:val="both"/>
        <w:rPr>
          <w:rStyle w:val="Hyperlink"/>
          <w:rFonts w:asciiTheme="minorHAnsi" w:hAnsiTheme="minorHAnsi" w:cstheme="minorHAnsi"/>
          <w:sz w:val="22"/>
          <w:szCs w:val="22"/>
        </w:rPr>
      </w:pPr>
      <w:hyperlink r:id="rId32" w:history="1">
        <w:r w:rsidRPr="00883D4C">
          <w:rPr>
            <w:rStyle w:val="Hyperlink"/>
            <w:rFonts w:asciiTheme="minorHAnsi" w:hAnsiTheme="minorHAnsi" w:cstheme="minorHAnsi"/>
            <w:sz w:val="22"/>
            <w:szCs w:val="22"/>
          </w:rPr>
          <w:t>Prieiga internete</w:t>
        </w:r>
      </w:hyperlink>
    </w:p>
    <w:p w14:paraId="488B04E7" w14:textId="77777777" w:rsidR="00883D4C" w:rsidRPr="00883D4C" w:rsidRDefault="00883D4C" w:rsidP="00883D4C">
      <w:pPr>
        <w:ind w:firstLine="567"/>
        <w:jc w:val="both"/>
        <w:rPr>
          <w:rFonts w:asciiTheme="minorHAnsi" w:hAnsiTheme="minorHAnsi" w:cstheme="minorHAnsi"/>
          <w:color w:val="000000"/>
          <w:sz w:val="22"/>
          <w:szCs w:val="22"/>
          <w:shd w:val="clear" w:color="auto" w:fill="FFFFFF"/>
        </w:rPr>
      </w:pPr>
    </w:p>
    <w:p w14:paraId="6EC50F49" w14:textId="77777777" w:rsidR="002329FF" w:rsidRPr="002329FF" w:rsidRDefault="002329FF" w:rsidP="002329FF">
      <w:pPr>
        <w:pStyle w:val="Apzvalgai1"/>
        <w:rPr>
          <w:rFonts w:asciiTheme="minorHAnsi" w:hAnsiTheme="minorHAnsi" w:cstheme="minorHAnsi"/>
        </w:rPr>
      </w:pPr>
      <w:bookmarkStart w:id="58" w:name="_Toc187075165"/>
      <w:r w:rsidRPr="002329FF">
        <w:rPr>
          <w:rFonts w:asciiTheme="minorHAnsi" w:hAnsiTheme="minorHAnsi" w:cstheme="minorHAnsi"/>
        </w:rPr>
        <w:t>52. Bylos nagrinėjimo sustabdymas ir atnaujinimas</w:t>
      </w:r>
      <w:bookmarkEnd w:id="58"/>
    </w:p>
    <w:p w14:paraId="18E85FFB" w14:textId="77777777" w:rsidR="002329FF" w:rsidRPr="00DC7C2E" w:rsidRDefault="002329FF" w:rsidP="002329FF">
      <w:pPr>
        <w:ind w:firstLine="567"/>
        <w:jc w:val="both"/>
        <w:rPr>
          <w:rFonts w:ascii="Calibri" w:hAnsi="Calibri"/>
          <w:b/>
          <w:bCs/>
          <w:sz w:val="22"/>
          <w:szCs w:val="22"/>
          <w:u w:val="single"/>
        </w:rPr>
      </w:pPr>
      <w:r>
        <w:rPr>
          <w:rFonts w:ascii="Calibri" w:hAnsi="Calibri"/>
          <w:b/>
          <w:bCs/>
          <w:sz w:val="22"/>
          <w:szCs w:val="22"/>
          <w:u w:val="single"/>
        </w:rPr>
        <w:t>52.1</w:t>
      </w:r>
      <w:r w:rsidRPr="00DC7C2E">
        <w:rPr>
          <w:rFonts w:ascii="Calibri" w:hAnsi="Calibri"/>
          <w:b/>
          <w:bCs/>
          <w:sz w:val="22"/>
          <w:szCs w:val="22"/>
          <w:u w:val="single"/>
        </w:rPr>
        <w:t xml:space="preserve">. </w:t>
      </w:r>
      <w:r w:rsidRPr="00B56838">
        <w:rPr>
          <w:rFonts w:ascii="Calibri" w:hAnsi="Calibri"/>
          <w:b/>
          <w:bCs/>
          <w:sz w:val="22"/>
          <w:szCs w:val="22"/>
          <w:u w:val="single"/>
        </w:rPr>
        <w:t>Bylos nagrinėjimo sustabdymo pagrindai</w:t>
      </w:r>
    </w:p>
    <w:p w14:paraId="25B6DF5A" w14:textId="77777777" w:rsidR="002329FF" w:rsidRPr="00DC7C2E" w:rsidRDefault="002329FF" w:rsidP="002329FF">
      <w:pPr>
        <w:ind w:left="1843" w:hanging="709"/>
        <w:jc w:val="both"/>
        <w:rPr>
          <w:rFonts w:asciiTheme="minorHAnsi" w:hAnsiTheme="minorHAnsi" w:cstheme="minorHAnsi"/>
          <w:b/>
          <w:bCs/>
          <w:sz w:val="22"/>
          <w:szCs w:val="22"/>
          <w:u w:val="single"/>
        </w:rPr>
      </w:pPr>
      <w:r>
        <w:rPr>
          <w:rFonts w:asciiTheme="minorHAnsi" w:hAnsiTheme="minorHAnsi" w:cstheme="minorHAnsi"/>
          <w:b/>
          <w:bCs/>
          <w:sz w:val="22"/>
          <w:szCs w:val="22"/>
          <w:u w:val="single"/>
        </w:rPr>
        <w:lastRenderedPageBreak/>
        <w:t>51.1.3</w:t>
      </w:r>
      <w:r w:rsidRPr="00DC7C2E">
        <w:rPr>
          <w:rFonts w:asciiTheme="minorHAnsi" w:hAnsiTheme="minorHAnsi" w:cstheme="minorHAnsi"/>
          <w:b/>
          <w:bCs/>
          <w:sz w:val="22"/>
          <w:szCs w:val="22"/>
          <w:u w:val="single"/>
        </w:rPr>
        <w:t xml:space="preserve">. </w:t>
      </w:r>
      <w:r w:rsidRPr="00B56838">
        <w:rPr>
          <w:rFonts w:asciiTheme="minorHAnsi" w:hAnsiTheme="minorHAnsi" w:cstheme="minorHAnsi"/>
          <w:b/>
          <w:bCs/>
          <w:sz w:val="22"/>
          <w:szCs w:val="22"/>
          <w:u w:val="single"/>
        </w:rPr>
        <w:t>Kai negalima nagrinėti tos bylos, iki bus išspręsta kita byla, nagrinėjama civiline, baudžiamąja ar administracine tvarka</w:t>
      </w:r>
    </w:p>
    <w:p w14:paraId="73A337E4" w14:textId="77777777" w:rsidR="002329FF" w:rsidRPr="00DC7C2E" w:rsidRDefault="002329FF" w:rsidP="002329FF">
      <w:pPr>
        <w:ind w:firstLine="567"/>
        <w:jc w:val="both"/>
        <w:rPr>
          <w:rFonts w:asciiTheme="minorHAnsi" w:hAnsiTheme="minorHAnsi" w:cstheme="minorHAnsi"/>
          <w:sz w:val="22"/>
          <w:szCs w:val="22"/>
        </w:rPr>
      </w:pPr>
    </w:p>
    <w:p w14:paraId="57A40882" w14:textId="05E788EC" w:rsidR="002329FF" w:rsidRPr="002329FF" w:rsidRDefault="002329FF" w:rsidP="002329FF">
      <w:pPr>
        <w:jc w:val="both"/>
        <w:outlineLvl w:val="1"/>
        <w:rPr>
          <w:rFonts w:asciiTheme="minorHAnsi" w:eastAsia="Calibri" w:hAnsiTheme="minorHAnsi" w:cstheme="minorHAnsi"/>
          <w:i/>
          <w:sz w:val="22"/>
          <w:szCs w:val="22"/>
        </w:rPr>
      </w:pPr>
      <w:bookmarkStart w:id="59" w:name="_Toc187075166"/>
      <w:r w:rsidRPr="002329FF">
        <w:rPr>
          <w:rFonts w:asciiTheme="minorHAnsi" w:eastAsia="Calibri" w:hAnsiTheme="minorHAnsi" w:cstheme="minorHAnsi"/>
          <w:i/>
          <w:sz w:val="22"/>
          <w:szCs w:val="22"/>
        </w:rPr>
        <w:t xml:space="preserve">Dėl konkuruojančių procesinių prašymų </w:t>
      </w:r>
      <w:r>
        <w:rPr>
          <w:rFonts w:asciiTheme="minorHAnsi" w:eastAsia="Calibri" w:hAnsiTheme="minorHAnsi" w:cstheme="minorHAnsi"/>
          <w:i/>
          <w:sz w:val="22"/>
          <w:szCs w:val="22"/>
        </w:rPr>
        <w:t>–</w:t>
      </w:r>
      <w:r w:rsidRPr="002329FF">
        <w:rPr>
          <w:rFonts w:asciiTheme="minorHAnsi" w:eastAsia="Calibri" w:hAnsiTheme="minorHAnsi" w:cstheme="minorHAnsi"/>
          <w:i/>
          <w:sz w:val="22"/>
          <w:szCs w:val="22"/>
        </w:rPr>
        <w:t xml:space="preserve"> bylos stabdymas neišsprendus prašymo bylas sujungti</w:t>
      </w:r>
      <w:bookmarkEnd w:id="59"/>
    </w:p>
    <w:p w14:paraId="4AE7459B" w14:textId="77777777" w:rsidR="002329FF" w:rsidRPr="00DC7C2E" w:rsidRDefault="002329FF" w:rsidP="002329FF">
      <w:pPr>
        <w:ind w:firstLine="567"/>
        <w:rPr>
          <w:rFonts w:ascii="Calibri" w:hAnsi="Calibri"/>
          <w:bCs/>
          <w:sz w:val="22"/>
          <w:szCs w:val="22"/>
          <w:lang w:eastAsia="en-US"/>
        </w:rPr>
      </w:pPr>
    </w:p>
    <w:p w14:paraId="5B476608" w14:textId="32450791" w:rsidR="001F6E51" w:rsidRPr="001F6E51" w:rsidRDefault="79280C20" w:rsidP="79280C20">
      <w:pPr>
        <w:pStyle w:val="NormalWeb"/>
        <w:shd w:val="clear" w:color="auto" w:fill="FFFFFF" w:themeFill="background1"/>
        <w:spacing w:before="0" w:beforeAutospacing="0" w:after="0" w:afterAutospacing="0"/>
        <w:ind w:firstLine="567"/>
        <w:jc w:val="both"/>
        <w:rPr>
          <w:rFonts w:ascii="Calibri" w:hAnsi="Calibri"/>
          <w:sz w:val="22"/>
          <w:szCs w:val="22"/>
          <w:lang w:val="lt-LT"/>
        </w:rPr>
      </w:pPr>
      <w:r w:rsidRPr="79280C20">
        <w:rPr>
          <w:rFonts w:ascii="Calibri" w:hAnsi="Calibri"/>
          <w:sz w:val="22"/>
          <w:szCs w:val="22"/>
          <w:lang w:val="lt-LT"/>
        </w:rPr>
        <w:t>Administracinėje byloje buvo nagrinėjamas atskirasis skundas dėl Regionų administracinio teismo 2024 m. spalio 2 d. nutarties, kuria sustabdytas bylos nagrinėjimas ABTĮ 100 straipsnio 1 dalies 3 punkto pagrindu, t. y., kai negalima nagrinėti tos bylos, iki bus išspręsta kita byla, nagrinėjama civiline, baudžiamąja ar administracine tvarka, teisėtumo ir pagrįstumo.</w:t>
      </w:r>
    </w:p>
    <w:p w14:paraId="5D2239B0" w14:textId="77777777" w:rsidR="001F6E51" w:rsidRPr="001F6E51" w:rsidRDefault="001F6E51" w:rsidP="001F6E51">
      <w:pPr>
        <w:pStyle w:val="NormalWeb"/>
        <w:shd w:val="clear" w:color="auto" w:fill="FFFFFF"/>
        <w:spacing w:before="0" w:beforeAutospacing="0" w:after="0" w:afterAutospacing="0"/>
        <w:ind w:firstLine="567"/>
        <w:jc w:val="both"/>
        <w:rPr>
          <w:rFonts w:ascii="Calibri" w:hAnsi="Calibri"/>
          <w:bCs/>
          <w:sz w:val="22"/>
          <w:szCs w:val="22"/>
          <w:lang w:val="lt-LT"/>
        </w:rPr>
      </w:pPr>
      <w:r w:rsidRPr="001F6E51">
        <w:rPr>
          <w:rFonts w:ascii="Calibri" w:hAnsi="Calibri"/>
          <w:bCs/>
          <w:sz w:val="22"/>
          <w:szCs w:val="22"/>
          <w:lang w:val="lt-LT"/>
        </w:rPr>
        <w:t>Teisėjų kolegija nurodė, jog iš pirmosios instancijos teisme vykusio teismo posėdžio garso įrašo nustatyta, kad buvo sprendžiamas klausimas dėl bylos sustabdymo atsižvelgiant į Regionų administracinio teismo Kauno rūmuose nagrinėjamą administracinę bylą Nr. eI3-13927-644/2024; šalys sutarė, kad bylos yra tarpusavyje susijusios, todėl atsakovo atstovas išreiškė prašymą stabdyti nagrinėjamą bylą iki bus išnagrinėta administracinė byla Nr. eI3-13927-644/2024. Tuo tarpu pareiškėjų atstovas nesutiko, kad byla būtų sustabdyta ir laikėsi pozicijos, kad nagrinėjamu atveju racionaliausia būtų bylas sujungti. Atitinkamai pareiškėjų atstovas pateikė teismui prašymą atidėti klausimo dėl bylos sustabdymo nagrinėjimą iki bus išspręstas pareiškėjų Regionų administracinio teismo Kauno rūmams pateiktas prašymas dėl bylų sujungimo.</w:t>
      </w:r>
    </w:p>
    <w:p w14:paraId="0905F2BF" w14:textId="6397D62F" w:rsidR="00CF6DFB" w:rsidRDefault="79280C20" w:rsidP="79280C20">
      <w:pPr>
        <w:pStyle w:val="NormalWeb"/>
        <w:shd w:val="clear" w:color="auto" w:fill="FFFFFF" w:themeFill="background1"/>
        <w:spacing w:before="0" w:beforeAutospacing="0" w:after="0" w:afterAutospacing="0"/>
        <w:ind w:firstLine="567"/>
        <w:jc w:val="both"/>
        <w:rPr>
          <w:rFonts w:ascii="Calibri" w:hAnsi="Calibri"/>
          <w:sz w:val="22"/>
          <w:szCs w:val="22"/>
          <w:lang w:val="lt-LT"/>
        </w:rPr>
      </w:pPr>
      <w:r w:rsidRPr="79280C20">
        <w:rPr>
          <w:rFonts w:ascii="Calibri" w:hAnsi="Calibri"/>
          <w:sz w:val="22"/>
          <w:szCs w:val="22"/>
          <w:lang w:val="lt-LT"/>
        </w:rPr>
        <w:t>Pirmosios instancijos teismas atsakovo atstovo prašymą dėl bylos sustabdymo išnagrinėjo rašytinio proceso tvarka ir 2024 m. spalio 2 d. nutartimi bylą sustabdė.</w:t>
      </w:r>
    </w:p>
    <w:p w14:paraId="7B63E079" w14:textId="7FDC5D4F" w:rsidR="003A2B32" w:rsidRDefault="003A2B32" w:rsidP="002329FF">
      <w:pPr>
        <w:pStyle w:val="NormalWeb"/>
        <w:shd w:val="clear" w:color="auto" w:fill="FFFFFF"/>
        <w:spacing w:before="0" w:beforeAutospacing="0" w:after="0" w:afterAutospacing="0"/>
        <w:ind w:firstLine="567"/>
        <w:jc w:val="both"/>
        <w:rPr>
          <w:rFonts w:ascii="Calibri" w:hAnsi="Calibri"/>
          <w:bCs/>
          <w:sz w:val="22"/>
          <w:szCs w:val="22"/>
          <w:lang w:val="lt-LT"/>
        </w:rPr>
      </w:pPr>
      <w:r w:rsidRPr="003A2B32">
        <w:rPr>
          <w:rFonts w:ascii="Calibri" w:hAnsi="Calibri"/>
          <w:bCs/>
          <w:sz w:val="22"/>
          <w:szCs w:val="22"/>
          <w:lang w:val="lt-LT"/>
        </w:rPr>
        <w:t xml:space="preserve">Šiuo aspektu </w:t>
      </w:r>
      <w:r w:rsidR="00515D5F">
        <w:rPr>
          <w:rFonts w:ascii="Calibri" w:hAnsi="Calibri"/>
          <w:bCs/>
          <w:sz w:val="22"/>
          <w:szCs w:val="22"/>
          <w:lang w:val="lt-LT"/>
        </w:rPr>
        <w:t xml:space="preserve">LVAT </w:t>
      </w:r>
      <w:r w:rsidRPr="003A2B32">
        <w:rPr>
          <w:rFonts w:ascii="Calibri" w:hAnsi="Calibri"/>
          <w:bCs/>
          <w:sz w:val="22"/>
          <w:szCs w:val="22"/>
          <w:lang w:val="lt-LT"/>
        </w:rPr>
        <w:t xml:space="preserve">teisėjų kolegija pabrėžė, jog pagal ABTĮ 52 straipsnio 2 dalį proceso šalys (be kita ko) turi teisę pareikšti prašymus, pateikti savo argumentus ir samprotavimus, prieštarauti kitų proceso dalyvių prašymams; ABTĮ 81 straipsnio, reglamentuojančio teismo posėdžio tvarką, 5 dalis, be kita ko, numato, kad teismas taip pat išsprendžia proceso šalių (jų atstovų) prašymus. LVAT akcentavo, jog pareiškėjų atstovas teismo posėdžio metu prašė bylas sujungti, teismui 2024 m. rugsėjo 30 d. pateiktu prašymu prašė netenkinti atsakovo prašymo stabdyti bylos nagrinėjimą iki bus išspręstas klausimas dėl bylų sujungimo, tačiau pirmosios instancijos teismas 2024 m. spalio 2 d. nutartyje dėl nurodytų pareiškėjų argumentų nepasisakė ir nutarė sustabdyti bylos nagrinėjimą, t. y. </w:t>
      </w:r>
      <w:r w:rsidRPr="003A2B32">
        <w:rPr>
          <w:rFonts w:ascii="Calibri" w:hAnsi="Calibri"/>
          <w:bCs/>
          <w:sz w:val="22"/>
          <w:szCs w:val="22"/>
          <w:u w:val="single"/>
          <w:lang w:val="lt-LT"/>
        </w:rPr>
        <w:t>sustabdė bylos nagrinėjimą neišsprendęs prašymo dėl bylų sujungimo ir neįvertinęs tokio procesinio veiksmo (bylų sujungimo) įtakos proceso operatyvumui ir ekonomiškumui, nesilaikydamas administracinio proceso tikslų ekonomiškiausiu ir operatyviausiu būdu ginti asmenų teises ir teisėtus interesus</w:t>
      </w:r>
      <w:r w:rsidRPr="003A2B32">
        <w:rPr>
          <w:rFonts w:ascii="Calibri" w:hAnsi="Calibri"/>
          <w:bCs/>
          <w:sz w:val="22"/>
          <w:szCs w:val="22"/>
          <w:lang w:val="lt-LT"/>
        </w:rPr>
        <w:t>.</w:t>
      </w:r>
    </w:p>
    <w:p w14:paraId="165FC514" w14:textId="11EAE51A" w:rsidR="002329FF" w:rsidRDefault="002329FF" w:rsidP="002329FF">
      <w:pPr>
        <w:pStyle w:val="NormalWeb"/>
        <w:shd w:val="clear" w:color="auto" w:fill="FFFFFF"/>
        <w:spacing w:before="0" w:beforeAutospacing="0" w:after="0" w:afterAutospacing="0"/>
        <w:ind w:firstLine="567"/>
        <w:jc w:val="both"/>
        <w:rPr>
          <w:rFonts w:ascii="Calibri" w:hAnsi="Calibri"/>
          <w:bCs/>
          <w:sz w:val="22"/>
          <w:szCs w:val="22"/>
          <w:lang w:val="lt-LT"/>
        </w:rPr>
      </w:pPr>
      <w:r w:rsidRPr="00DC7C2E">
        <w:rPr>
          <w:rFonts w:ascii="Calibri" w:hAnsi="Calibri"/>
          <w:bCs/>
          <w:sz w:val="22"/>
          <w:szCs w:val="22"/>
          <w:lang w:val="lt-LT"/>
        </w:rPr>
        <w:t xml:space="preserve">Atsižvelgęs į tai, </w:t>
      </w:r>
      <w:r>
        <w:rPr>
          <w:rFonts w:ascii="Calibri" w:hAnsi="Calibri"/>
          <w:bCs/>
          <w:sz w:val="22"/>
          <w:szCs w:val="22"/>
          <w:lang w:val="lt-LT"/>
        </w:rPr>
        <w:t xml:space="preserve">LVAT </w:t>
      </w:r>
      <w:r w:rsidRPr="000F720D">
        <w:rPr>
          <w:rFonts w:ascii="Calibri" w:hAnsi="Calibri"/>
          <w:bCs/>
          <w:sz w:val="22"/>
          <w:szCs w:val="22"/>
          <w:lang w:val="lt-LT"/>
        </w:rPr>
        <w:t>pareiškėj</w:t>
      </w:r>
      <w:r>
        <w:rPr>
          <w:rFonts w:ascii="Calibri" w:hAnsi="Calibri"/>
          <w:bCs/>
          <w:sz w:val="22"/>
          <w:szCs w:val="22"/>
          <w:lang w:val="lt-LT"/>
        </w:rPr>
        <w:t>ų</w:t>
      </w:r>
      <w:r w:rsidRPr="000F720D">
        <w:rPr>
          <w:rFonts w:ascii="Calibri" w:hAnsi="Calibri"/>
          <w:bCs/>
          <w:sz w:val="22"/>
          <w:szCs w:val="22"/>
          <w:lang w:val="lt-LT"/>
        </w:rPr>
        <w:t xml:space="preserve"> </w:t>
      </w:r>
      <w:r>
        <w:rPr>
          <w:rFonts w:ascii="Calibri" w:hAnsi="Calibri"/>
          <w:bCs/>
          <w:sz w:val="22"/>
          <w:szCs w:val="22"/>
          <w:lang w:val="lt-LT"/>
        </w:rPr>
        <w:t>atskirąjį skundą tenkino, pirmosios instancijos teismo nutartį panaikino ir perdavė bylą pirmosios instancijos teismui nagrinėti iš naujo.</w:t>
      </w:r>
    </w:p>
    <w:p w14:paraId="73186083" w14:textId="77777777" w:rsidR="002329FF" w:rsidRPr="00DC7C2E" w:rsidRDefault="002329FF" w:rsidP="002329FF">
      <w:pPr>
        <w:pStyle w:val="NormalWeb"/>
        <w:shd w:val="clear" w:color="auto" w:fill="FFFFFF"/>
        <w:spacing w:before="0" w:beforeAutospacing="0" w:after="0" w:afterAutospacing="0"/>
        <w:ind w:firstLine="567"/>
        <w:jc w:val="both"/>
        <w:rPr>
          <w:rFonts w:ascii="Calibri" w:hAnsi="Calibri"/>
          <w:bCs/>
          <w:sz w:val="22"/>
          <w:szCs w:val="22"/>
          <w:lang w:val="lt-LT"/>
        </w:rPr>
      </w:pPr>
    </w:p>
    <w:p w14:paraId="093B700A" w14:textId="7D3BC088" w:rsidR="002329FF" w:rsidRPr="00DC7C2E" w:rsidRDefault="002329FF" w:rsidP="002329FF">
      <w:pPr>
        <w:jc w:val="both"/>
        <w:rPr>
          <w:rFonts w:ascii="Calibri" w:hAnsi="Calibri"/>
          <w:bCs/>
          <w:sz w:val="22"/>
          <w:szCs w:val="22"/>
          <w:lang w:eastAsia="en-US"/>
        </w:rPr>
      </w:pPr>
      <w:r w:rsidRPr="00DC7C2E">
        <w:rPr>
          <w:rFonts w:ascii="Calibri" w:hAnsi="Calibri"/>
          <w:bCs/>
          <w:sz w:val="22"/>
          <w:szCs w:val="22"/>
          <w:lang w:eastAsia="en-US"/>
        </w:rPr>
        <w:t xml:space="preserve">2024 m. </w:t>
      </w:r>
      <w:r>
        <w:rPr>
          <w:rFonts w:ascii="Calibri" w:hAnsi="Calibri"/>
          <w:bCs/>
          <w:sz w:val="22"/>
          <w:szCs w:val="22"/>
          <w:lang w:eastAsia="en-US"/>
        </w:rPr>
        <w:t>lapkričio 27</w:t>
      </w:r>
      <w:r w:rsidRPr="00DC7C2E">
        <w:rPr>
          <w:rFonts w:ascii="Calibri" w:hAnsi="Calibri"/>
          <w:bCs/>
          <w:sz w:val="22"/>
          <w:szCs w:val="22"/>
          <w:lang w:eastAsia="en-US"/>
        </w:rPr>
        <w:t xml:space="preserve"> d. nutartis administracinėje byloje </w:t>
      </w:r>
      <w:r w:rsidRPr="001B3662">
        <w:rPr>
          <w:rFonts w:ascii="Calibri" w:hAnsi="Calibri"/>
          <w:bCs/>
          <w:sz w:val="22"/>
          <w:szCs w:val="22"/>
          <w:lang w:eastAsia="en-US"/>
        </w:rPr>
        <w:t>Nr.</w:t>
      </w:r>
      <w:r w:rsidR="0039733B">
        <w:rPr>
          <w:rFonts w:ascii="Calibri" w:hAnsi="Calibri"/>
          <w:bCs/>
          <w:sz w:val="22"/>
          <w:szCs w:val="22"/>
          <w:lang w:eastAsia="en-US"/>
        </w:rPr>
        <w:t xml:space="preserve"> </w:t>
      </w:r>
      <w:r w:rsidRPr="001B3662">
        <w:rPr>
          <w:rFonts w:ascii="Calibri" w:hAnsi="Calibri"/>
          <w:bCs/>
          <w:sz w:val="22"/>
          <w:szCs w:val="22"/>
          <w:lang w:eastAsia="en-US"/>
        </w:rPr>
        <w:t>eAS-773-415/2024</w:t>
      </w:r>
    </w:p>
    <w:p w14:paraId="4845D938" w14:textId="18B66DA1" w:rsidR="002329FF" w:rsidRPr="00DC7C2E" w:rsidRDefault="002329FF" w:rsidP="002329FF">
      <w:pPr>
        <w:jc w:val="both"/>
        <w:rPr>
          <w:rFonts w:ascii="Calibri" w:hAnsi="Calibri"/>
          <w:bCs/>
          <w:sz w:val="22"/>
          <w:szCs w:val="22"/>
          <w:lang w:eastAsia="en-US"/>
        </w:rPr>
      </w:pPr>
      <w:r w:rsidRPr="00DC7C2E">
        <w:rPr>
          <w:rFonts w:ascii="Calibri" w:hAnsi="Calibri"/>
          <w:bCs/>
          <w:sz w:val="22"/>
          <w:szCs w:val="22"/>
          <w:lang w:eastAsia="en-US"/>
        </w:rPr>
        <w:t xml:space="preserve">Teisminio proceso </w:t>
      </w:r>
      <w:r w:rsidRPr="001B3662">
        <w:rPr>
          <w:rFonts w:ascii="Calibri" w:hAnsi="Calibri"/>
          <w:bCs/>
          <w:sz w:val="22"/>
          <w:szCs w:val="22"/>
          <w:lang w:eastAsia="en-US"/>
        </w:rPr>
        <w:t>Nr.</w:t>
      </w:r>
      <w:r w:rsidR="0039733B">
        <w:rPr>
          <w:rFonts w:ascii="Calibri" w:hAnsi="Calibri"/>
          <w:bCs/>
          <w:sz w:val="22"/>
          <w:szCs w:val="22"/>
          <w:lang w:eastAsia="en-US"/>
        </w:rPr>
        <w:t xml:space="preserve"> </w:t>
      </w:r>
      <w:r w:rsidRPr="001B3662">
        <w:rPr>
          <w:rFonts w:ascii="Calibri" w:hAnsi="Calibri"/>
          <w:bCs/>
          <w:sz w:val="22"/>
          <w:szCs w:val="22"/>
          <w:lang w:eastAsia="en-US"/>
        </w:rPr>
        <w:t>3-62-3-00439-2024-8</w:t>
      </w:r>
    </w:p>
    <w:p w14:paraId="3AAB0BEA" w14:textId="77777777" w:rsidR="002329FF" w:rsidRDefault="002329FF" w:rsidP="002329FF">
      <w:pPr>
        <w:jc w:val="both"/>
        <w:rPr>
          <w:rFonts w:ascii="Calibri" w:hAnsi="Calibri"/>
          <w:bCs/>
          <w:sz w:val="22"/>
          <w:szCs w:val="22"/>
          <w:lang w:eastAsia="en-US"/>
        </w:rPr>
      </w:pPr>
      <w:hyperlink r:id="rId33" w:history="1">
        <w:r w:rsidRPr="00690521">
          <w:rPr>
            <w:rStyle w:val="Hyperlink"/>
            <w:rFonts w:ascii="Calibri" w:hAnsi="Calibri"/>
            <w:bCs/>
            <w:sz w:val="22"/>
            <w:szCs w:val="22"/>
            <w:lang w:eastAsia="en-US"/>
          </w:rPr>
          <w:t>Prieiga internete</w:t>
        </w:r>
      </w:hyperlink>
    </w:p>
    <w:p w14:paraId="032CF524" w14:textId="77777777" w:rsidR="002329FF" w:rsidRPr="003756A5" w:rsidRDefault="002329FF" w:rsidP="007825BC">
      <w:pPr>
        <w:ind w:firstLine="567"/>
        <w:jc w:val="both"/>
        <w:rPr>
          <w:rFonts w:asciiTheme="minorHAnsi" w:hAnsiTheme="minorHAnsi" w:cstheme="minorHAnsi"/>
          <w:color w:val="000000"/>
          <w:sz w:val="22"/>
          <w:szCs w:val="22"/>
          <w:shd w:val="clear" w:color="auto" w:fill="FFFFFF"/>
        </w:rPr>
      </w:pPr>
    </w:p>
    <w:p w14:paraId="689B39E7" w14:textId="77777777" w:rsidR="00112960" w:rsidRPr="003756A5" w:rsidRDefault="00112960" w:rsidP="00112960">
      <w:pPr>
        <w:pStyle w:val="Apzvalgai1"/>
        <w:rPr>
          <w:rFonts w:asciiTheme="minorHAnsi" w:hAnsiTheme="minorHAnsi" w:cstheme="minorHAnsi"/>
        </w:rPr>
      </w:pPr>
      <w:bookmarkStart w:id="60" w:name="_Toc774964"/>
      <w:bookmarkStart w:id="61" w:name="_Toc187075167"/>
      <w:r w:rsidRPr="003756A5">
        <w:rPr>
          <w:rFonts w:asciiTheme="minorHAnsi" w:hAnsiTheme="minorHAnsi" w:cstheme="minorHAnsi"/>
        </w:rPr>
        <w:t>55. Teismo procesiniai dokumentai</w:t>
      </w:r>
      <w:bookmarkEnd w:id="60"/>
      <w:bookmarkEnd w:id="61"/>
    </w:p>
    <w:p w14:paraId="2609378D" w14:textId="77777777" w:rsidR="00112960" w:rsidRPr="003756A5" w:rsidRDefault="00112960" w:rsidP="00112960">
      <w:pPr>
        <w:ind w:firstLine="567"/>
        <w:rPr>
          <w:rFonts w:ascii="Calibri" w:hAnsi="Calibri"/>
          <w:b/>
          <w:sz w:val="22"/>
          <w:szCs w:val="22"/>
          <w:u w:val="single"/>
        </w:rPr>
      </w:pPr>
      <w:r w:rsidRPr="003756A5">
        <w:rPr>
          <w:rFonts w:ascii="Calibri" w:hAnsi="Calibri"/>
          <w:b/>
          <w:sz w:val="22"/>
          <w:szCs w:val="22"/>
          <w:u w:val="single"/>
        </w:rPr>
        <w:t>55.1. Teismo sprendimas</w:t>
      </w:r>
    </w:p>
    <w:p w14:paraId="4DF41A2A" w14:textId="77777777" w:rsidR="00345220" w:rsidRPr="00F73DCE" w:rsidRDefault="00345220" w:rsidP="00345220">
      <w:pPr>
        <w:ind w:firstLine="1134"/>
        <w:jc w:val="both"/>
        <w:rPr>
          <w:rFonts w:asciiTheme="minorHAnsi" w:hAnsiTheme="minorHAnsi" w:cstheme="minorHAnsi"/>
          <w:b/>
          <w:bCs/>
          <w:sz w:val="22"/>
          <w:szCs w:val="22"/>
          <w:u w:val="single"/>
        </w:rPr>
      </w:pPr>
      <w:r w:rsidRPr="00F73DCE">
        <w:rPr>
          <w:rFonts w:asciiTheme="minorHAnsi" w:hAnsiTheme="minorHAnsi" w:cstheme="minorHAnsi"/>
          <w:b/>
          <w:bCs/>
          <w:sz w:val="22"/>
          <w:szCs w:val="22"/>
          <w:u w:val="single"/>
        </w:rPr>
        <w:t>55.1.6. Teismo sprendimo išaiškinimas</w:t>
      </w:r>
    </w:p>
    <w:p w14:paraId="289CAB08" w14:textId="77777777" w:rsidR="00345220" w:rsidRPr="00F73DCE" w:rsidRDefault="00345220" w:rsidP="00345220">
      <w:pPr>
        <w:ind w:firstLine="567"/>
        <w:jc w:val="both"/>
        <w:rPr>
          <w:rFonts w:asciiTheme="minorHAnsi" w:hAnsiTheme="minorHAnsi" w:cstheme="minorHAnsi"/>
          <w:sz w:val="22"/>
          <w:szCs w:val="22"/>
        </w:rPr>
      </w:pPr>
    </w:p>
    <w:p w14:paraId="1D5A095B" w14:textId="77777777" w:rsidR="00345220" w:rsidRPr="00BD0341" w:rsidRDefault="00345220" w:rsidP="00BD0341">
      <w:pPr>
        <w:jc w:val="both"/>
        <w:outlineLvl w:val="1"/>
        <w:rPr>
          <w:rFonts w:asciiTheme="minorHAnsi" w:eastAsia="Calibri" w:hAnsiTheme="minorHAnsi" w:cstheme="minorHAnsi"/>
          <w:i/>
          <w:sz w:val="22"/>
          <w:szCs w:val="22"/>
        </w:rPr>
      </w:pPr>
      <w:bookmarkStart w:id="62" w:name="_Toc187075168"/>
      <w:r w:rsidRPr="00BD0341">
        <w:rPr>
          <w:rFonts w:asciiTheme="minorHAnsi" w:eastAsia="Calibri" w:hAnsiTheme="minorHAnsi" w:cstheme="minorHAnsi"/>
          <w:i/>
          <w:sz w:val="22"/>
          <w:szCs w:val="22"/>
        </w:rPr>
        <w:t>Dėl teismo sprendimo išaiškinimo instituto netaikymo negalutinių nutarčių išaiškinimui</w:t>
      </w:r>
      <w:bookmarkEnd w:id="62"/>
    </w:p>
    <w:p w14:paraId="2225AB6C" w14:textId="77777777" w:rsidR="00345220" w:rsidRPr="00F73DCE" w:rsidRDefault="00345220" w:rsidP="00345220">
      <w:pPr>
        <w:ind w:firstLine="567"/>
        <w:jc w:val="both"/>
        <w:rPr>
          <w:rFonts w:asciiTheme="minorHAnsi" w:hAnsiTheme="minorHAnsi" w:cstheme="minorHAnsi"/>
          <w:sz w:val="22"/>
          <w:szCs w:val="22"/>
        </w:rPr>
      </w:pPr>
    </w:p>
    <w:p w14:paraId="1A2E0D07" w14:textId="77777777" w:rsidR="00345220" w:rsidRPr="00F73DCE" w:rsidRDefault="00345220" w:rsidP="00345220">
      <w:pPr>
        <w:ind w:firstLine="567"/>
        <w:jc w:val="both"/>
        <w:rPr>
          <w:rFonts w:asciiTheme="minorHAnsi" w:hAnsiTheme="minorHAnsi" w:cstheme="minorHAnsi"/>
          <w:sz w:val="22"/>
          <w:szCs w:val="22"/>
        </w:rPr>
      </w:pPr>
      <w:r w:rsidRPr="00F73DCE">
        <w:rPr>
          <w:rFonts w:asciiTheme="minorHAnsi" w:hAnsiTheme="minorHAnsi" w:cstheme="minorHAnsi"/>
          <w:sz w:val="22"/>
          <w:szCs w:val="22"/>
        </w:rPr>
        <w:t>Apžvelgiamu atveju pareiškėja pirmosios instancijos teismo prašė pateikti išaiškinimą dėl, jos vertinimu, neaiškių administracinėje byloje priimtų Regionų administracinio teismo 2024 m. liepos 15 d. nutarties, kuria pareiškėjai nustatytas terminas pašalinti skundo trūkumus (sumokėti žyminį mokestį ir pateikti tai patvirtinančius dokumentus), ir 2024 m. liepos 24 d. nutarties, kuria pareiškėjos skundas laikytas nepaduotu, nepašalinus nustatytų skundo trūkumų.</w:t>
      </w:r>
    </w:p>
    <w:p w14:paraId="73B68142" w14:textId="77777777" w:rsidR="00345220" w:rsidRPr="00F73DCE" w:rsidRDefault="00345220" w:rsidP="00345220">
      <w:pPr>
        <w:ind w:firstLine="567"/>
        <w:jc w:val="both"/>
        <w:rPr>
          <w:rFonts w:asciiTheme="minorHAnsi" w:hAnsiTheme="minorHAnsi" w:cstheme="minorHAnsi"/>
          <w:sz w:val="22"/>
          <w:szCs w:val="22"/>
        </w:rPr>
      </w:pPr>
      <w:r w:rsidRPr="00F73DCE">
        <w:rPr>
          <w:rFonts w:asciiTheme="minorHAnsi" w:hAnsiTheme="minorHAnsi" w:cstheme="minorHAnsi"/>
          <w:sz w:val="22"/>
          <w:szCs w:val="22"/>
        </w:rPr>
        <w:t>Pirmosios instancijos teismas netenkino pareiškėjos prašymo dėl minėtų nutarčių išaiškinimo.</w:t>
      </w:r>
    </w:p>
    <w:p w14:paraId="3B89B843" w14:textId="77777777" w:rsidR="00345220" w:rsidRPr="00F73DCE" w:rsidRDefault="00345220" w:rsidP="00345220">
      <w:pPr>
        <w:ind w:firstLine="567"/>
        <w:jc w:val="both"/>
        <w:rPr>
          <w:rFonts w:asciiTheme="minorHAnsi" w:hAnsiTheme="minorHAnsi" w:cstheme="minorHAnsi"/>
          <w:sz w:val="22"/>
          <w:szCs w:val="22"/>
        </w:rPr>
      </w:pPr>
      <w:r w:rsidRPr="00F73DCE">
        <w:rPr>
          <w:rFonts w:asciiTheme="minorHAnsi" w:hAnsiTheme="minorHAnsi" w:cstheme="minorHAnsi"/>
          <w:sz w:val="22"/>
          <w:szCs w:val="22"/>
        </w:rPr>
        <w:t xml:space="preserve">LVAT pažymėjo, kad pagal </w:t>
      </w:r>
      <w:bookmarkStart w:id="63" w:name="_Hlk181722240"/>
      <w:r w:rsidRPr="00F73DCE">
        <w:rPr>
          <w:rFonts w:asciiTheme="minorHAnsi" w:hAnsiTheme="minorHAnsi" w:cstheme="minorHAnsi"/>
          <w:sz w:val="22"/>
          <w:szCs w:val="22"/>
        </w:rPr>
        <w:t xml:space="preserve">ABTĮ 96 </w:t>
      </w:r>
      <w:bookmarkEnd w:id="63"/>
      <w:r w:rsidRPr="00F73DCE">
        <w:rPr>
          <w:rFonts w:asciiTheme="minorHAnsi" w:hAnsiTheme="minorHAnsi" w:cstheme="minorHAnsi"/>
          <w:sz w:val="22"/>
          <w:szCs w:val="22"/>
        </w:rPr>
        <w:t xml:space="preserve">straipsnio 3 dalį, kol sprendimas neįvykdytas, proceso šalių prašymu teismas turi teisę išaiškinti savo priimtą sprendimą, tačiau nekeisdamas jo turinio. Šios teisės normos paskirtis yra ta, kad teismas gali išaiškinti savo galutinį sprendimą, kuriuo ginčas išsprendžiamas iš esmės, tačiau teismo sprendime esantys neaiškumai trukdo jį tinkamai vykdyti ar suprasti. Taigi, </w:t>
      </w:r>
      <w:r w:rsidRPr="004D73E3">
        <w:rPr>
          <w:rFonts w:asciiTheme="minorHAnsi" w:hAnsiTheme="minorHAnsi" w:cstheme="minorHAnsi"/>
          <w:sz w:val="22"/>
          <w:szCs w:val="22"/>
          <w:u w:val="single"/>
        </w:rPr>
        <w:t>ABTĮ įtvirtintas teismo sprendimo trūkumų šalinimo vienas iš būdų (sprendimo išaiškinimas) taikytinas galutinio sprendimo išaiškinimui, kuris turi būti vykdomas</w:t>
      </w:r>
      <w:r w:rsidRPr="00F73DCE">
        <w:rPr>
          <w:rFonts w:asciiTheme="minorHAnsi" w:hAnsiTheme="minorHAnsi" w:cstheme="minorHAnsi"/>
          <w:sz w:val="22"/>
          <w:szCs w:val="22"/>
        </w:rPr>
        <w:t xml:space="preserve">. Dėl teismo nutarčių (išskyrus dėl bylos nutraukimo) yra nustatyta galimybė teismui, priėmusiam </w:t>
      </w:r>
      <w:r w:rsidRPr="00F73DCE">
        <w:rPr>
          <w:rFonts w:asciiTheme="minorHAnsi" w:hAnsiTheme="minorHAnsi" w:cstheme="minorHAnsi"/>
          <w:sz w:val="22"/>
          <w:szCs w:val="22"/>
        </w:rPr>
        <w:lastRenderedPageBreak/>
        <w:t xml:space="preserve">nutartį, ją panaikinti (ABTĮ 153 str. 1 d. 1 p.). Teismui grąžinus skundą pareiškėjui, šis gali iš naujo kreiptis į teismą. Atitinkamai </w:t>
      </w:r>
      <w:r w:rsidRPr="00F73DCE">
        <w:rPr>
          <w:rFonts w:asciiTheme="minorHAnsi" w:hAnsiTheme="minorHAnsi" w:cstheme="minorHAnsi"/>
          <w:sz w:val="22"/>
          <w:szCs w:val="22"/>
          <w:u w:val="single"/>
        </w:rPr>
        <w:t>ABTĮ įtvirtinto teismo sprendimo trūkumų šalinimo vieno iš būdų (sprendimo išaiškinimo) taikymas negalutinių nutarčių išaiškinimui būtų nesuderinamas su teismo sprendimo išaiškinimo instituto tikslais</w:t>
      </w:r>
      <w:r w:rsidRPr="00F73DCE">
        <w:rPr>
          <w:rFonts w:asciiTheme="minorHAnsi" w:hAnsiTheme="minorHAnsi" w:cstheme="minorHAnsi"/>
          <w:sz w:val="22"/>
          <w:szCs w:val="22"/>
        </w:rPr>
        <w:t>.</w:t>
      </w:r>
    </w:p>
    <w:p w14:paraId="2D6EC2C6" w14:textId="77777777" w:rsidR="00345220" w:rsidRPr="00F73DCE" w:rsidRDefault="00345220" w:rsidP="00345220">
      <w:pPr>
        <w:ind w:firstLine="567"/>
        <w:jc w:val="both"/>
        <w:rPr>
          <w:rFonts w:asciiTheme="minorHAnsi" w:hAnsiTheme="minorHAnsi" w:cstheme="minorHAnsi"/>
          <w:sz w:val="22"/>
          <w:szCs w:val="22"/>
        </w:rPr>
      </w:pPr>
      <w:r w:rsidRPr="00F73DCE">
        <w:rPr>
          <w:rFonts w:asciiTheme="minorHAnsi" w:hAnsiTheme="minorHAnsi" w:cstheme="minorHAnsi"/>
          <w:sz w:val="22"/>
          <w:szCs w:val="22"/>
        </w:rPr>
        <w:t>Atsižvelgęs į byloje nustatytas aplinkybes, LVAT pažymėjo, kad ABTĮ 96 straipsnio 3 dalyje numatytas teismo sprendimo išaiškinimo institutas šiuo atveju negali būti taikomas, kadangi galutinis sprendimas dėl pareiškėjos skundo nėra priimtas. Pareiškėjos prašomos išaiškinti pirmosios instancijos teismo nutartys priimtos sprendžiant pareiškėjos skundo priėmimo klausimą, šios nutartys pareiškėjai nekliudo vėl kreiptis į teismą su skundu, atitinkančiu ABTĮ 9 straipsnio 2 dalyje, 24, 25 ir 35 straipsniuose nustatytus reikalavimus.</w:t>
      </w:r>
    </w:p>
    <w:p w14:paraId="0D32F701" w14:textId="77777777" w:rsidR="00345220" w:rsidRPr="00F73DCE" w:rsidRDefault="00345220" w:rsidP="00345220">
      <w:pPr>
        <w:ind w:firstLine="567"/>
        <w:jc w:val="both"/>
        <w:rPr>
          <w:rFonts w:asciiTheme="minorHAnsi" w:hAnsiTheme="minorHAnsi" w:cstheme="minorHAnsi"/>
          <w:sz w:val="22"/>
          <w:szCs w:val="22"/>
        </w:rPr>
      </w:pPr>
      <w:r w:rsidRPr="00F73DCE">
        <w:rPr>
          <w:rFonts w:asciiTheme="minorHAnsi" w:hAnsiTheme="minorHAnsi" w:cstheme="minorHAnsi"/>
          <w:sz w:val="22"/>
          <w:szCs w:val="22"/>
        </w:rPr>
        <w:t>Pareiškėjos atskirasis skundas atmestas, pirmosios instancijos teismo nutartis palikta nepakeista.</w:t>
      </w:r>
    </w:p>
    <w:p w14:paraId="773AA95E" w14:textId="77777777" w:rsidR="00345220" w:rsidRPr="00F73DCE" w:rsidRDefault="00345220" w:rsidP="00345220">
      <w:pPr>
        <w:ind w:firstLine="567"/>
        <w:jc w:val="both"/>
        <w:rPr>
          <w:rFonts w:asciiTheme="minorHAnsi" w:hAnsiTheme="minorHAnsi" w:cstheme="minorHAnsi"/>
          <w:sz w:val="22"/>
          <w:szCs w:val="22"/>
        </w:rPr>
      </w:pPr>
    </w:p>
    <w:p w14:paraId="20806A58" w14:textId="77777777" w:rsidR="00345220" w:rsidRPr="00F73DCE" w:rsidRDefault="00345220" w:rsidP="00345220">
      <w:pPr>
        <w:jc w:val="both"/>
        <w:rPr>
          <w:rFonts w:asciiTheme="minorHAnsi" w:hAnsiTheme="minorHAnsi" w:cstheme="minorHAnsi"/>
          <w:sz w:val="22"/>
          <w:szCs w:val="22"/>
        </w:rPr>
      </w:pPr>
      <w:r w:rsidRPr="00F73DCE">
        <w:rPr>
          <w:rFonts w:asciiTheme="minorHAnsi" w:hAnsiTheme="minorHAnsi" w:cstheme="minorHAnsi"/>
          <w:bCs/>
          <w:sz w:val="22"/>
          <w:szCs w:val="22"/>
        </w:rPr>
        <w:t xml:space="preserve">2024 m. lapkričio 6 </w:t>
      </w:r>
      <w:r w:rsidRPr="00F73DCE">
        <w:rPr>
          <w:rFonts w:asciiTheme="minorHAnsi" w:hAnsiTheme="minorHAnsi" w:cstheme="minorHAnsi"/>
          <w:sz w:val="22"/>
          <w:szCs w:val="22"/>
        </w:rPr>
        <w:t xml:space="preserve">d. nutartis administracinėje byloje Nr. </w:t>
      </w:r>
      <w:r w:rsidRPr="00F73DCE">
        <w:rPr>
          <w:rFonts w:asciiTheme="minorHAnsi" w:hAnsiTheme="minorHAnsi" w:cstheme="minorHAnsi"/>
          <w:bCs/>
          <w:sz w:val="22"/>
          <w:szCs w:val="22"/>
        </w:rPr>
        <w:t>eAS-677-602/2024</w:t>
      </w:r>
    </w:p>
    <w:p w14:paraId="797C7AB9" w14:textId="77777777" w:rsidR="00345220" w:rsidRPr="00F73DCE" w:rsidRDefault="00345220" w:rsidP="00345220">
      <w:pPr>
        <w:jc w:val="both"/>
        <w:rPr>
          <w:rFonts w:asciiTheme="minorHAnsi" w:hAnsiTheme="minorHAnsi" w:cstheme="minorHAnsi"/>
          <w:bCs/>
          <w:sz w:val="22"/>
          <w:szCs w:val="22"/>
        </w:rPr>
      </w:pPr>
      <w:r w:rsidRPr="00F73DCE">
        <w:rPr>
          <w:rFonts w:asciiTheme="minorHAnsi" w:hAnsiTheme="minorHAnsi" w:cstheme="minorHAnsi"/>
          <w:sz w:val="22"/>
          <w:szCs w:val="22"/>
        </w:rPr>
        <w:t xml:space="preserve">Teisminio proceso Nr. </w:t>
      </w:r>
      <w:r w:rsidRPr="00F73DCE">
        <w:rPr>
          <w:rFonts w:asciiTheme="minorHAnsi" w:hAnsiTheme="minorHAnsi" w:cstheme="minorHAnsi"/>
          <w:bCs/>
          <w:sz w:val="22"/>
          <w:szCs w:val="22"/>
        </w:rPr>
        <w:t>3-63-3-00731-2024-4</w:t>
      </w:r>
    </w:p>
    <w:p w14:paraId="377CF35C" w14:textId="77777777" w:rsidR="00345220" w:rsidRPr="00F73DCE" w:rsidRDefault="00345220" w:rsidP="00345220">
      <w:pPr>
        <w:jc w:val="both"/>
        <w:rPr>
          <w:rFonts w:asciiTheme="minorHAnsi" w:hAnsiTheme="minorHAnsi" w:cstheme="minorHAnsi"/>
          <w:sz w:val="22"/>
          <w:szCs w:val="22"/>
          <w:u w:val="single"/>
        </w:rPr>
      </w:pPr>
      <w:hyperlink r:id="rId34" w:history="1">
        <w:r w:rsidRPr="00F73DCE">
          <w:rPr>
            <w:rStyle w:val="Hyperlink"/>
            <w:rFonts w:asciiTheme="minorHAnsi" w:hAnsiTheme="minorHAnsi" w:cstheme="minorHAnsi"/>
            <w:sz w:val="22"/>
            <w:szCs w:val="22"/>
          </w:rPr>
          <w:t>Prieiga internete</w:t>
        </w:r>
      </w:hyperlink>
    </w:p>
    <w:p w14:paraId="12E6CBB5" w14:textId="77777777" w:rsidR="00112960" w:rsidRPr="003756A5" w:rsidRDefault="00112960" w:rsidP="00112960">
      <w:pPr>
        <w:jc w:val="both"/>
        <w:rPr>
          <w:rFonts w:asciiTheme="minorHAnsi" w:hAnsiTheme="minorHAnsi" w:cstheme="minorHAnsi"/>
          <w:color w:val="000000"/>
          <w:sz w:val="22"/>
          <w:szCs w:val="22"/>
          <w:shd w:val="clear" w:color="auto" w:fill="FFFFFF"/>
        </w:rPr>
      </w:pPr>
    </w:p>
    <w:p w14:paraId="3A986BD2" w14:textId="77777777" w:rsidR="001C71DE" w:rsidRPr="003756A5" w:rsidRDefault="001C71DE" w:rsidP="001C71DE">
      <w:pPr>
        <w:pStyle w:val="Apzvalgai1"/>
        <w:rPr>
          <w:rFonts w:asciiTheme="minorHAnsi" w:hAnsiTheme="minorHAnsi" w:cstheme="minorHAnsi"/>
        </w:rPr>
      </w:pPr>
      <w:bookmarkStart w:id="64" w:name="_Toc187075169"/>
      <w:r w:rsidRPr="003756A5">
        <w:rPr>
          <w:rFonts w:asciiTheme="minorHAnsi" w:hAnsiTheme="minorHAnsi" w:cstheme="minorHAnsi"/>
        </w:rPr>
        <w:t>57. Bylos nagrinėjimo išlaidos</w:t>
      </w:r>
      <w:bookmarkEnd w:id="64"/>
    </w:p>
    <w:p w14:paraId="2C87B732" w14:textId="77777777" w:rsidR="00137EA9" w:rsidRPr="00137EA9" w:rsidRDefault="00137EA9" w:rsidP="00137EA9">
      <w:pPr>
        <w:ind w:firstLine="567"/>
        <w:jc w:val="both"/>
        <w:rPr>
          <w:rFonts w:asciiTheme="minorHAnsi" w:hAnsiTheme="minorHAnsi" w:cstheme="minorHAnsi"/>
          <w:b/>
          <w:bCs/>
          <w:sz w:val="22"/>
          <w:szCs w:val="22"/>
          <w:u w:val="single"/>
        </w:rPr>
      </w:pPr>
      <w:r w:rsidRPr="00137EA9">
        <w:rPr>
          <w:rFonts w:asciiTheme="minorHAnsi" w:hAnsiTheme="minorHAnsi" w:cstheme="minorHAnsi"/>
          <w:b/>
          <w:bCs/>
          <w:sz w:val="22"/>
          <w:szCs w:val="22"/>
          <w:u w:val="single"/>
        </w:rPr>
        <w:t>57.2. Bylinėjimosi išlaidų paskirstymas</w:t>
      </w:r>
    </w:p>
    <w:p w14:paraId="6D8BBBEC" w14:textId="77777777" w:rsidR="00137EA9" w:rsidRPr="00137EA9" w:rsidRDefault="00137EA9" w:rsidP="00137EA9">
      <w:pPr>
        <w:ind w:firstLine="1134"/>
        <w:rPr>
          <w:rFonts w:asciiTheme="minorHAnsi" w:hAnsiTheme="minorHAnsi" w:cstheme="minorHAnsi"/>
          <w:b/>
          <w:bCs/>
          <w:sz w:val="22"/>
          <w:szCs w:val="22"/>
          <w:u w:val="single"/>
        </w:rPr>
      </w:pPr>
      <w:r w:rsidRPr="00137EA9">
        <w:rPr>
          <w:rFonts w:asciiTheme="minorHAnsi" w:hAnsiTheme="minorHAnsi" w:cstheme="minorHAnsi"/>
          <w:b/>
          <w:bCs/>
          <w:sz w:val="22"/>
          <w:szCs w:val="22"/>
          <w:u w:val="single"/>
        </w:rPr>
        <w:t>57.2.2. Išlaidų paskirstymas, kai byla užbaigiama nepriėmus teismo sprendimo</w:t>
      </w:r>
    </w:p>
    <w:p w14:paraId="24B546DF" w14:textId="77777777" w:rsidR="00137EA9" w:rsidRPr="00137EA9" w:rsidRDefault="00137EA9" w:rsidP="00137EA9">
      <w:pPr>
        <w:jc w:val="both"/>
        <w:rPr>
          <w:rStyle w:val="Hyperlink"/>
          <w:rFonts w:asciiTheme="minorHAnsi" w:hAnsiTheme="minorHAnsi" w:cstheme="minorHAnsi"/>
          <w:color w:val="auto"/>
          <w:sz w:val="22"/>
          <w:szCs w:val="22"/>
        </w:rPr>
      </w:pPr>
    </w:p>
    <w:p w14:paraId="596C8F7C" w14:textId="58AC71B4" w:rsidR="00137EA9" w:rsidRPr="003E2EEE" w:rsidRDefault="00137EA9" w:rsidP="003E2EEE">
      <w:pPr>
        <w:jc w:val="both"/>
        <w:outlineLvl w:val="1"/>
        <w:rPr>
          <w:rFonts w:asciiTheme="minorHAnsi" w:eastAsia="Calibri" w:hAnsiTheme="minorHAnsi" w:cstheme="minorHAnsi"/>
          <w:i/>
          <w:sz w:val="22"/>
          <w:szCs w:val="22"/>
        </w:rPr>
      </w:pPr>
      <w:bookmarkStart w:id="65" w:name="_Toc187075170"/>
      <w:r w:rsidRPr="003E2EEE">
        <w:rPr>
          <w:rFonts w:asciiTheme="minorHAnsi" w:eastAsia="Calibri" w:hAnsiTheme="minorHAnsi" w:cstheme="minorHAnsi"/>
          <w:i/>
          <w:sz w:val="22"/>
          <w:szCs w:val="22"/>
        </w:rPr>
        <w:t>Dėl naudojimosi procesinėmis teisėmis nelaikymo piktnaudžiavimu procesinėmis teisėmis</w:t>
      </w:r>
      <w:bookmarkEnd w:id="65"/>
    </w:p>
    <w:p w14:paraId="34C963E9" w14:textId="77777777" w:rsidR="00137EA9" w:rsidRPr="003E2EEE" w:rsidRDefault="00137EA9" w:rsidP="00137EA9">
      <w:pPr>
        <w:ind w:firstLine="567"/>
        <w:jc w:val="both"/>
        <w:rPr>
          <w:rFonts w:asciiTheme="minorHAnsi" w:hAnsiTheme="minorHAnsi" w:cstheme="minorHAnsi"/>
          <w:bCs/>
          <w:sz w:val="22"/>
          <w:szCs w:val="22"/>
        </w:rPr>
      </w:pPr>
    </w:p>
    <w:p w14:paraId="2D0AAFA5" w14:textId="77777777" w:rsidR="00137EA9" w:rsidRPr="00137EA9" w:rsidRDefault="00137EA9" w:rsidP="00137EA9">
      <w:pPr>
        <w:ind w:firstLine="567"/>
        <w:jc w:val="both"/>
        <w:rPr>
          <w:rFonts w:asciiTheme="minorHAnsi" w:hAnsiTheme="minorHAnsi" w:cstheme="minorHAnsi"/>
          <w:sz w:val="22"/>
          <w:szCs w:val="22"/>
        </w:rPr>
      </w:pPr>
      <w:r w:rsidRPr="00137EA9">
        <w:rPr>
          <w:rFonts w:asciiTheme="minorHAnsi" w:hAnsiTheme="minorHAnsi" w:cstheme="minorHAnsi"/>
          <w:sz w:val="22"/>
          <w:szCs w:val="22"/>
        </w:rPr>
        <w:t>Apžvelgiamoje byloje ginčas kilo dėl pirmosios instancijos teismo nutarties dalies, kuria pareiškėjui nepriteistas bylinėjimosi išlaidų atlyginimas, pagrįstumo ir teisėtumo.</w:t>
      </w:r>
    </w:p>
    <w:p w14:paraId="0E012A28" w14:textId="77777777" w:rsidR="00137EA9" w:rsidRPr="00137EA9" w:rsidRDefault="00137EA9" w:rsidP="00137EA9">
      <w:pPr>
        <w:ind w:firstLine="567"/>
        <w:jc w:val="both"/>
        <w:rPr>
          <w:rFonts w:asciiTheme="minorHAnsi" w:hAnsiTheme="minorHAnsi" w:cstheme="minorHAnsi"/>
          <w:sz w:val="22"/>
          <w:szCs w:val="22"/>
        </w:rPr>
      </w:pPr>
      <w:r w:rsidRPr="00137EA9">
        <w:rPr>
          <w:rFonts w:asciiTheme="minorHAnsi" w:hAnsiTheme="minorHAnsi" w:cstheme="minorHAnsi"/>
          <w:sz w:val="22"/>
          <w:szCs w:val="22"/>
        </w:rPr>
        <w:t>Pirmosios instancijos teismas, priėmęs pareiškėjo skundo atsakovui Vilniaus miesto savivaldybės administracijai (toliau – Administracija) dėl įpareigojimo atlikti veiksmus atsisakymą ir nutraukęs administracinę bylą, nelaikė pareiškėjo procesinio elgesio byloje tinkamu, todėl atmetė pareiškėjo prašymą priteisti bylinėjimosi išlaidas. Pareiškėjas atskirajame skunde nesutiko su pirmosios instancijos teismo atliktu pareiškėjo elgesio vertinimu.</w:t>
      </w:r>
    </w:p>
    <w:p w14:paraId="5DBAF282" w14:textId="3350A0A7" w:rsidR="00137EA9" w:rsidRPr="00137EA9" w:rsidRDefault="00137EA9" w:rsidP="00137EA9">
      <w:pPr>
        <w:ind w:firstLine="567"/>
        <w:jc w:val="both"/>
        <w:rPr>
          <w:rFonts w:asciiTheme="minorHAnsi" w:hAnsiTheme="minorHAnsi" w:cstheme="minorHAnsi"/>
          <w:sz w:val="22"/>
          <w:szCs w:val="22"/>
        </w:rPr>
      </w:pPr>
      <w:r w:rsidRPr="00137EA9">
        <w:rPr>
          <w:rFonts w:asciiTheme="minorHAnsi" w:hAnsiTheme="minorHAnsi" w:cstheme="minorHAnsi"/>
          <w:sz w:val="22"/>
          <w:szCs w:val="22"/>
        </w:rPr>
        <w:t>Byloje nustatyta, kad pareiškėjas Administracijai pateikė 2024 m. gegužės 7</w:t>
      </w:r>
      <w:r w:rsidR="00252459">
        <w:rPr>
          <w:rFonts w:asciiTheme="minorHAnsi" w:hAnsiTheme="minorHAnsi" w:cstheme="minorHAnsi"/>
          <w:sz w:val="22"/>
          <w:szCs w:val="22"/>
        </w:rPr>
        <w:t xml:space="preserve"> </w:t>
      </w:r>
      <w:r w:rsidRPr="00137EA9">
        <w:rPr>
          <w:rFonts w:asciiTheme="minorHAnsi" w:hAnsiTheme="minorHAnsi" w:cstheme="minorHAnsi"/>
          <w:sz w:val="22"/>
          <w:szCs w:val="22"/>
        </w:rPr>
        <w:t>d. prašymą</w:t>
      </w:r>
      <w:r w:rsidRPr="00137EA9">
        <w:rPr>
          <w:rFonts w:asciiTheme="minorHAnsi" w:hAnsiTheme="minorHAnsi" w:cstheme="minorHAnsi"/>
          <w:bCs/>
          <w:sz w:val="22"/>
          <w:szCs w:val="22"/>
        </w:rPr>
        <w:t xml:space="preserve">. Administracijos </w:t>
      </w:r>
      <w:r w:rsidRPr="00137EA9">
        <w:rPr>
          <w:rFonts w:asciiTheme="minorHAnsi" w:hAnsiTheme="minorHAnsi" w:cstheme="minorHAnsi"/>
          <w:sz w:val="22"/>
          <w:szCs w:val="22"/>
        </w:rPr>
        <w:t>2024 m. gegužės 23 d. rašto turinys patvirtino, kad juo buvo atsakyta į pareiškėjo prašymą. Bylos duomenimis, atsakovas atsakymą parengė ir išsiuntė pareiškėjui po to, kai pirmosios instancijos teisme buvo priimtas pareiškėjo skundas.</w:t>
      </w:r>
    </w:p>
    <w:p w14:paraId="67F644FC" w14:textId="339B5529" w:rsidR="00137EA9" w:rsidRPr="00137EA9" w:rsidRDefault="00137EA9" w:rsidP="0076596B">
      <w:pPr>
        <w:ind w:firstLine="567"/>
        <w:jc w:val="both"/>
        <w:rPr>
          <w:rFonts w:asciiTheme="minorHAnsi" w:hAnsiTheme="minorHAnsi" w:cstheme="minorHAnsi"/>
          <w:sz w:val="22"/>
          <w:szCs w:val="22"/>
        </w:rPr>
      </w:pPr>
      <w:r w:rsidRPr="00137EA9">
        <w:rPr>
          <w:rFonts w:asciiTheme="minorHAnsi" w:hAnsiTheme="minorHAnsi" w:cstheme="minorHAnsi"/>
          <w:sz w:val="22"/>
          <w:szCs w:val="22"/>
        </w:rPr>
        <w:t xml:space="preserve">Kadangi byloje nekilo ginčo dėl to, </w:t>
      </w:r>
      <w:r w:rsidR="00252459">
        <w:rPr>
          <w:rFonts w:asciiTheme="minorHAnsi" w:hAnsiTheme="minorHAnsi" w:cstheme="minorHAnsi"/>
          <w:sz w:val="22"/>
          <w:szCs w:val="22"/>
        </w:rPr>
        <w:t>jog</w:t>
      </w:r>
      <w:r w:rsidRPr="00137EA9">
        <w:rPr>
          <w:rFonts w:asciiTheme="minorHAnsi" w:hAnsiTheme="minorHAnsi" w:cstheme="minorHAnsi"/>
          <w:sz w:val="22"/>
          <w:szCs w:val="22"/>
        </w:rPr>
        <w:t xml:space="preserve"> pareiškėjas kreipėsi į teismą jau kitą dieną pasibaigus specialiajame teisės akte nustatytam 5 darbo dienų terminui (</w:t>
      </w:r>
      <w:r w:rsidR="0076596B" w:rsidRPr="0076596B">
        <w:rPr>
          <w:rFonts w:asciiTheme="minorHAnsi" w:hAnsiTheme="minorHAnsi" w:cstheme="minorHAnsi"/>
          <w:sz w:val="22"/>
          <w:szCs w:val="22"/>
        </w:rPr>
        <w:t>aplinkos ministro</w:t>
      </w:r>
      <w:r w:rsidR="0076596B">
        <w:rPr>
          <w:rFonts w:asciiTheme="minorHAnsi" w:hAnsiTheme="minorHAnsi" w:cstheme="minorHAnsi"/>
          <w:sz w:val="22"/>
          <w:szCs w:val="22"/>
        </w:rPr>
        <w:t xml:space="preserve"> </w:t>
      </w:r>
      <w:r w:rsidR="0076596B" w:rsidRPr="0076596B">
        <w:rPr>
          <w:rFonts w:asciiTheme="minorHAnsi" w:hAnsiTheme="minorHAnsi" w:cstheme="minorHAnsi"/>
          <w:sz w:val="22"/>
          <w:szCs w:val="22"/>
        </w:rPr>
        <w:t>2016 m. lapkričio 7 d. įsakymu Nr. D1-738</w:t>
      </w:r>
      <w:r w:rsidR="0076596B">
        <w:rPr>
          <w:rFonts w:asciiTheme="minorHAnsi" w:hAnsiTheme="minorHAnsi" w:cstheme="minorHAnsi"/>
          <w:sz w:val="22"/>
          <w:szCs w:val="22"/>
        </w:rPr>
        <w:t xml:space="preserve"> patvirtinto </w:t>
      </w:r>
      <w:r w:rsidR="00EA0980" w:rsidRPr="0076596B">
        <w:rPr>
          <w:rFonts w:asciiTheme="minorHAnsi" w:hAnsiTheme="minorHAnsi" w:cstheme="minorHAnsi"/>
          <w:sz w:val="22"/>
          <w:szCs w:val="22"/>
        </w:rPr>
        <w:t xml:space="preserve">statybos techninio reglamento STR 1.04.04:2017 </w:t>
      </w:r>
      <w:r w:rsidR="00EA0980" w:rsidRPr="00EA0980">
        <w:rPr>
          <w:rFonts w:asciiTheme="minorHAnsi" w:hAnsiTheme="minorHAnsi" w:cstheme="minorHAnsi"/>
          <w:sz w:val="22"/>
          <w:szCs w:val="22"/>
        </w:rPr>
        <w:t xml:space="preserve">„Statinio projektavimas, projekto ekspertizė“ </w:t>
      </w:r>
      <w:r w:rsidRPr="00137EA9">
        <w:rPr>
          <w:rFonts w:asciiTheme="minorHAnsi" w:hAnsiTheme="minorHAnsi" w:cstheme="minorHAnsi"/>
          <w:sz w:val="22"/>
          <w:szCs w:val="22"/>
        </w:rPr>
        <w:t>13</w:t>
      </w:r>
      <w:r w:rsidR="00305F2D">
        <w:rPr>
          <w:rFonts w:asciiTheme="minorHAnsi" w:hAnsiTheme="minorHAnsi" w:cstheme="minorHAnsi"/>
          <w:sz w:val="22"/>
          <w:szCs w:val="22"/>
        </w:rPr>
        <w:t> </w:t>
      </w:r>
      <w:r w:rsidRPr="00137EA9">
        <w:rPr>
          <w:rFonts w:asciiTheme="minorHAnsi" w:hAnsiTheme="minorHAnsi" w:cstheme="minorHAnsi"/>
          <w:sz w:val="22"/>
          <w:szCs w:val="22"/>
        </w:rPr>
        <w:t>priedo 14 p.</w:t>
      </w:r>
      <w:r w:rsidR="00387945">
        <w:rPr>
          <w:rFonts w:asciiTheme="minorHAnsi" w:hAnsiTheme="minorHAnsi" w:cstheme="minorHAnsi"/>
          <w:sz w:val="22"/>
          <w:szCs w:val="22"/>
        </w:rPr>
        <w:t xml:space="preserve">; </w:t>
      </w:r>
      <w:r w:rsidR="00623EB2" w:rsidRPr="00623EB2">
        <w:rPr>
          <w:rFonts w:asciiTheme="minorHAnsi" w:hAnsiTheme="minorHAnsi" w:cstheme="minorHAnsi"/>
          <w:sz w:val="22"/>
          <w:szCs w:val="22"/>
        </w:rPr>
        <w:t xml:space="preserve">2023 </w:t>
      </w:r>
      <w:r w:rsidR="00623EB2">
        <w:rPr>
          <w:rFonts w:asciiTheme="minorHAnsi" w:hAnsiTheme="minorHAnsi" w:cstheme="minorHAnsi"/>
          <w:sz w:val="22"/>
          <w:szCs w:val="22"/>
        </w:rPr>
        <w:t xml:space="preserve">m. lapkričio </w:t>
      </w:r>
      <w:r w:rsidR="00623EB2" w:rsidRPr="00623EB2">
        <w:rPr>
          <w:rFonts w:asciiTheme="minorHAnsi" w:hAnsiTheme="minorHAnsi" w:cstheme="minorHAnsi"/>
          <w:sz w:val="22"/>
          <w:szCs w:val="22"/>
        </w:rPr>
        <w:t>6</w:t>
      </w:r>
      <w:r w:rsidR="00623EB2">
        <w:rPr>
          <w:rFonts w:asciiTheme="minorHAnsi" w:hAnsiTheme="minorHAnsi" w:cstheme="minorHAnsi"/>
          <w:sz w:val="22"/>
          <w:szCs w:val="22"/>
        </w:rPr>
        <w:t xml:space="preserve"> d.</w:t>
      </w:r>
      <w:r w:rsidR="00623EB2" w:rsidRPr="00623EB2">
        <w:rPr>
          <w:rFonts w:asciiTheme="minorHAnsi" w:hAnsiTheme="minorHAnsi" w:cstheme="minorHAnsi"/>
          <w:sz w:val="22"/>
          <w:szCs w:val="22"/>
        </w:rPr>
        <w:t xml:space="preserve"> įsakym</w:t>
      </w:r>
      <w:r w:rsidR="00623EB2">
        <w:rPr>
          <w:rFonts w:asciiTheme="minorHAnsi" w:hAnsiTheme="minorHAnsi" w:cstheme="minorHAnsi"/>
          <w:sz w:val="22"/>
          <w:szCs w:val="22"/>
        </w:rPr>
        <w:t>o</w:t>
      </w:r>
      <w:r w:rsidR="00623EB2" w:rsidRPr="00623EB2">
        <w:rPr>
          <w:rFonts w:asciiTheme="minorHAnsi" w:hAnsiTheme="minorHAnsi" w:cstheme="minorHAnsi"/>
          <w:sz w:val="22"/>
          <w:szCs w:val="22"/>
        </w:rPr>
        <w:t xml:space="preserve"> Nr. D1-364</w:t>
      </w:r>
      <w:r w:rsidR="00623EB2">
        <w:rPr>
          <w:rFonts w:asciiTheme="minorHAnsi" w:hAnsiTheme="minorHAnsi" w:cstheme="minorHAnsi"/>
          <w:sz w:val="22"/>
          <w:szCs w:val="22"/>
        </w:rPr>
        <w:t xml:space="preserve"> </w:t>
      </w:r>
      <w:r w:rsidR="00387945">
        <w:rPr>
          <w:rFonts w:asciiTheme="minorHAnsi" w:hAnsiTheme="minorHAnsi" w:cstheme="minorHAnsi"/>
          <w:sz w:val="22"/>
          <w:szCs w:val="22"/>
        </w:rPr>
        <w:t>redakcija</w:t>
      </w:r>
      <w:r w:rsidRPr="00137EA9">
        <w:rPr>
          <w:rFonts w:asciiTheme="minorHAnsi" w:hAnsiTheme="minorHAnsi" w:cstheme="minorHAnsi"/>
          <w:sz w:val="22"/>
          <w:szCs w:val="22"/>
        </w:rPr>
        <w:t>), padaryta išvada, jog pareiškėjas turėjo teisinį pagrindą kreiptis į administracinį teismą su skundu dėl atsakovo vilkinimo atlikti veiksmus. Šiuo atveju pareiškėjas pasirinko savo teises ginti teisme, tokia jo teisė negali būti apribota ar paneigta, todėl pirmosios instancijos teismas nepagrįstai netinkamu pareiškėjo elgesiu pripažino aplinkybes, susijusias su pareiškėjo veiksmais, gavus jo netenkinantį atsakovo atsakymą į ankstesnį pareiškėjo prašymą bei atsakovo pranešimą dėl užtrukusio prašymo nagrinėjimo.</w:t>
      </w:r>
    </w:p>
    <w:p w14:paraId="6DC156A1" w14:textId="19D1C02F" w:rsidR="00137EA9" w:rsidRPr="00137EA9" w:rsidRDefault="00137EA9" w:rsidP="00137EA9">
      <w:pPr>
        <w:ind w:firstLine="567"/>
        <w:jc w:val="both"/>
        <w:rPr>
          <w:rFonts w:asciiTheme="minorHAnsi" w:hAnsiTheme="minorHAnsi" w:cstheme="minorHAnsi"/>
          <w:sz w:val="22"/>
          <w:szCs w:val="22"/>
        </w:rPr>
      </w:pPr>
      <w:r w:rsidRPr="00137EA9">
        <w:rPr>
          <w:rFonts w:asciiTheme="minorHAnsi" w:hAnsiTheme="minorHAnsi" w:cstheme="minorHAnsi"/>
          <w:sz w:val="22"/>
          <w:szCs w:val="22"/>
        </w:rPr>
        <w:t>Pažymėta, jog ABTĮ 50 straipsnio 2 dalyje įtvirtinta pareiškėjo teisė atsisakyti skundo (prašymo, pareiškimo) bet kurioje bylos nagrinėjimo stadijoje, iki teismas išeina į pasitarimų kambarį. Todėl</w:t>
      </w:r>
      <w:r w:rsidRPr="00FD75B2">
        <w:rPr>
          <w:rFonts w:asciiTheme="minorHAnsi" w:hAnsiTheme="minorHAnsi" w:cstheme="minorHAnsi"/>
          <w:sz w:val="22"/>
          <w:szCs w:val="22"/>
        </w:rPr>
        <w:t xml:space="preserve"> </w:t>
      </w:r>
      <w:r w:rsidRPr="00137EA9">
        <w:rPr>
          <w:rFonts w:asciiTheme="minorHAnsi" w:hAnsiTheme="minorHAnsi" w:cstheme="minorHAnsi"/>
          <w:sz w:val="22"/>
          <w:szCs w:val="22"/>
          <w:u w:val="single"/>
        </w:rPr>
        <w:t>pareiškėjo pasirinkimas atsisakyti skundo, kuris teisme gautas baigus pasiruošimą bylos nagrinėjimui, taip pat nepripažintinas netinkamu ir nesąžiningu elgesiu. Sąžiningas naudojimasis procesinėmis teisėmis negali būti vertinamas kaip piktnaudžiavimas procesine teise</w:t>
      </w:r>
      <w:r w:rsidRPr="00137EA9">
        <w:rPr>
          <w:rFonts w:asciiTheme="minorHAnsi" w:hAnsiTheme="minorHAnsi" w:cstheme="minorHAnsi"/>
          <w:sz w:val="22"/>
          <w:szCs w:val="22"/>
        </w:rPr>
        <w:t>. Byloje nenustatyta, kad pareiškėjas kreipdamasis į teismą piktnaudžiavo teisminės gynybos teise, todėl pirmosios instancijos teismui nebuvo pagrindo nesilaikyti ABTĮ 40</w:t>
      </w:r>
      <w:r w:rsidR="003E2EEE">
        <w:rPr>
          <w:rFonts w:asciiTheme="minorHAnsi" w:hAnsiTheme="minorHAnsi" w:cstheme="minorHAnsi"/>
          <w:sz w:val="22"/>
          <w:szCs w:val="22"/>
        </w:rPr>
        <w:t> </w:t>
      </w:r>
      <w:r w:rsidRPr="00137EA9">
        <w:rPr>
          <w:rFonts w:asciiTheme="minorHAnsi" w:hAnsiTheme="minorHAnsi" w:cstheme="minorHAnsi"/>
          <w:sz w:val="22"/>
          <w:szCs w:val="22"/>
        </w:rPr>
        <w:t>straipsnio 1, 2 ir 3 dalyse nustatytų bylinėjimosi išlaidų paskirstymo taisyklių (ABTĮ 40 str. 4 d.).</w:t>
      </w:r>
    </w:p>
    <w:p w14:paraId="2D254B96" w14:textId="2E33A71A" w:rsidR="00137EA9" w:rsidRPr="00137EA9" w:rsidRDefault="00137EA9" w:rsidP="00137EA9">
      <w:pPr>
        <w:ind w:firstLine="567"/>
        <w:jc w:val="both"/>
        <w:rPr>
          <w:rFonts w:asciiTheme="minorHAnsi" w:hAnsiTheme="minorHAnsi" w:cstheme="minorHAnsi"/>
          <w:sz w:val="22"/>
          <w:szCs w:val="22"/>
        </w:rPr>
      </w:pPr>
      <w:r w:rsidRPr="00137EA9">
        <w:rPr>
          <w:rFonts w:asciiTheme="minorHAnsi" w:hAnsiTheme="minorHAnsi" w:cstheme="minorHAnsi"/>
          <w:sz w:val="22"/>
          <w:szCs w:val="22"/>
        </w:rPr>
        <w:t>Pareiškėjo atskirasis skundas tenkintas iš dalies, pirmosios instancijos teismo nutartis pakeista ir pareiškėjui priteistas teismo išlaidų atlyginimas iš atsakovo.</w:t>
      </w:r>
    </w:p>
    <w:p w14:paraId="0AD17EF4" w14:textId="77777777" w:rsidR="00137EA9" w:rsidRPr="00137EA9" w:rsidRDefault="00137EA9" w:rsidP="00137EA9">
      <w:pPr>
        <w:ind w:firstLine="567"/>
        <w:jc w:val="both"/>
        <w:rPr>
          <w:rFonts w:asciiTheme="minorHAnsi" w:hAnsiTheme="minorHAnsi" w:cstheme="minorHAnsi"/>
          <w:sz w:val="22"/>
          <w:szCs w:val="22"/>
        </w:rPr>
      </w:pPr>
    </w:p>
    <w:p w14:paraId="220018BB" w14:textId="77777777" w:rsidR="00137EA9" w:rsidRPr="00137EA9" w:rsidRDefault="00137EA9" w:rsidP="00137EA9">
      <w:pPr>
        <w:jc w:val="both"/>
        <w:rPr>
          <w:rFonts w:asciiTheme="minorHAnsi" w:hAnsiTheme="minorHAnsi" w:cstheme="minorHAnsi"/>
          <w:bCs/>
          <w:sz w:val="22"/>
          <w:szCs w:val="22"/>
        </w:rPr>
      </w:pPr>
      <w:r w:rsidRPr="00137EA9">
        <w:rPr>
          <w:rFonts w:asciiTheme="minorHAnsi" w:hAnsiTheme="minorHAnsi" w:cstheme="minorHAnsi"/>
          <w:sz w:val="22"/>
          <w:szCs w:val="22"/>
        </w:rPr>
        <w:t xml:space="preserve">2024 m. lapkričio 20 d. nutartis administracinėje byloje </w:t>
      </w:r>
      <w:r w:rsidRPr="00137EA9">
        <w:rPr>
          <w:rFonts w:asciiTheme="minorHAnsi" w:hAnsiTheme="minorHAnsi" w:cstheme="minorHAnsi"/>
          <w:bCs/>
          <w:sz w:val="22"/>
          <w:szCs w:val="22"/>
        </w:rPr>
        <w:t>Nr. eAS-690-629/2024</w:t>
      </w:r>
    </w:p>
    <w:p w14:paraId="78C17959" w14:textId="77777777" w:rsidR="00137EA9" w:rsidRPr="00137EA9" w:rsidRDefault="00137EA9" w:rsidP="00137EA9">
      <w:pPr>
        <w:jc w:val="both"/>
        <w:rPr>
          <w:rFonts w:asciiTheme="minorHAnsi" w:hAnsiTheme="minorHAnsi" w:cstheme="minorHAnsi"/>
          <w:bCs/>
          <w:sz w:val="22"/>
          <w:szCs w:val="22"/>
        </w:rPr>
      </w:pPr>
      <w:r w:rsidRPr="00137EA9">
        <w:rPr>
          <w:rFonts w:asciiTheme="minorHAnsi" w:hAnsiTheme="minorHAnsi" w:cstheme="minorHAnsi"/>
          <w:bCs/>
          <w:sz w:val="22"/>
          <w:szCs w:val="22"/>
        </w:rPr>
        <w:t>Teisminio proceso Nr. 3-61-3-02257-2024-7</w:t>
      </w:r>
    </w:p>
    <w:p w14:paraId="31594D1C" w14:textId="77777777" w:rsidR="00137EA9" w:rsidRPr="00137EA9" w:rsidRDefault="00137EA9" w:rsidP="00137EA9">
      <w:pPr>
        <w:jc w:val="both"/>
        <w:rPr>
          <w:rStyle w:val="Hyperlink"/>
          <w:rFonts w:asciiTheme="minorHAnsi" w:hAnsiTheme="minorHAnsi" w:cstheme="minorHAnsi"/>
          <w:sz w:val="22"/>
          <w:szCs w:val="22"/>
        </w:rPr>
      </w:pPr>
      <w:hyperlink r:id="rId35" w:history="1">
        <w:r w:rsidRPr="00137EA9">
          <w:rPr>
            <w:rStyle w:val="Hyperlink"/>
            <w:rFonts w:asciiTheme="minorHAnsi" w:hAnsiTheme="minorHAnsi" w:cstheme="minorHAnsi"/>
            <w:sz w:val="22"/>
            <w:szCs w:val="22"/>
          </w:rPr>
          <w:t>Prieiga internete</w:t>
        </w:r>
      </w:hyperlink>
    </w:p>
    <w:p w14:paraId="16FB79E2" w14:textId="77777777" w:rsidR="00A11426" w:rsidRDefault="00A11426" w:rsidP="006A72A7">
      <w:pPr>
        <w:ind w:firstLine="567"/>
        <w:jc w:val="both"/>
        <w:rPr>
          <w:rFonts w:asciiTheme="minorHAnsi" w:hAnsiTheme="minorHAnsi" w:cstheme="minorHAnsi"/>
          <w:sz w:val="22"/>
          <w:szCs w:val="22"/>
        </w:rPr>
      </w:pPr>
    </w:p>
    <w:p w14:paraId="56EE4B75" w14:textId="77777777" w:rsidR="00A92CA4" w:rsidRPr="003F46EA" w:rsidRDefault="00A92CA4" w:rsidP="003F46EA">
      <w:pPr>
        <w:pStyle w:val="Apzvalgai1"/>
        <w:rPr>
          <w:rFonts w:asciiTheme="minorHAnsi" w:hAnsiTheme="minorHAnsi" w:cstheme="minorHAnsi"/>
        </w:rPr>
      </w:pPr>
      <w:bookmarkStart w:id="66" w:name="_Toc187075171"/>
      <w:r w:rsidRPr="003F46EA">
        <w:rPr>
          <w:rFonts w:asciiTheme="minorHAnsi" w:hAnsiTheme="minorHAnsi" w:cstheme="minorHAnsi"/>
        </w:rPr>
        <w:lastRenderedPageBreak/>
        <w:t>60. Proceso atnaujinimas administracinėje byloje</w:t>
      </w:r>
      <w:bookmarkEnd w:id="66"/>
    </w:p>
    <w:p w14:paraId="0ED1B8A6" w14:textId="77777777" w:rsidR="00A92CA4" w:rsidRPr="00DC7C2E" w:rsidRDefault="00A92CA4" w:rsidP="00A92CA4">
      <w:pPr>
        <w:ind w:firstLine="567"/>
        <w:jc w:val="both"/>
        <w:rPr>
          <w:rFonts w:ascii="Calibri" w:hAnsi="Calibri"/>
          <w:b/>
          <w:bCs/>
          <w:sz w:val="22"/>
          <w:szCs w:val="22"/>
          <w:u w:val="single"/>
        </w:rPr>
      </w:pPr>
      <w:r>
        <w:rPr>
          <w:rFonts w:ascii="Calibri" w:hAnsi="Calibri"/>
          <w:b/>
          <w:bCs/>
          <w:sz w:val="22"/>
          <w:szCs w:val="22"/>
          <w:u w:val="single"/>
        </w:rPr>
        <w:t>60.1</w:t>
      </w:r>
      <w:r w:rsidRPr="00DC7C2E">
        <w:rPr>
          <w:rFonts w:ascii="Calibri" w:hAnsi="Calibri"/>
          <w:b/>
          <w:bCs/>
          <w:sz w:val="22"/>
          <w:szCs w:val="22"/>
          <w:u w:val="single"/>
        </w:rPr>
        <w:t xml:space="preserve">. </w:t>
      </w:r>
      <w:r w:rsidRPr="001B3662">
        <w:rPr>
          <w:rFonts w:ascii="Calibri" w:hAnsi="Calibri"/>
          <w:b/>
          <w:bCs/>
          <w:sz w:val="22"/>
          <w:szCs w:val="22"/>
          <w:u w:val="single"/>
        </w:rPr>
        <w:t>Prašymo atnaujinti procesą padavimas, priėmimas ir nagrinėjimo tvarka</w:t>
      </w:r>
    </w:p>
    <w:p w14:paraId="1EA5766C" w14:textId="77777777" w:rsidR="00A92CA4" w:rsidRPr="001B3662" w:rsidRDefault="00A92CA4" w:rsidP="00A92CA4">
      <w:pPr>
        <w:ind w:firstLine="567"/>
        <w:jc w:val="both"/>
        <w:rPr>
          <w:rFonts w:ascii="Calibri" w:hAnsi="Calibri"/>
          <w:bCs/>
          <w:sz w:val="22"/>
          <w:szCs w:val="22"/>
          <w:lang w:eastAsia="en-US"/>
        </w:rPr>
      </w:pPr>
    </w:p>
    <w:p w14:paraId="4CBCD6F7" w14:textId="5CEE0499" w:rsidR="00A92CA4" w:rsidRPr="00A92CA4" w:rsidRDefault="00A92CA4" w:rsidP="00A92CA4">
      <w:pPr>
        <w:jc w:val="both"/>
        <w:outlineLvl w:val="1"/>
        <w:rPr>
          <w:rFonts w:asciiTheme="minorHAnsi" w:eastAsia="Calibri" w:hAnsiTheme="minorHAnsi" w:cstheme="minorHAnsi"/>
          <w:i/>
          <w:sz w:val="22"/>
          <w:szCs w:val="22"/>
        </w:rPr>
      </w:pPr>
      <w:bookmarkStart w:id="67" w:name="_Toc1625846471"/>
      <w:bookmarkStart w:id="68" w:name="_Toc187075172"/>
      <w:r w:rsidRPr="00A92CA4">
        <w:rPr>
          <w:rFonts w:asciiTheme="minorHAnsi" w:eastAsia="Calibri" w:hAnsiTheme="minorHAnsi" w:cstheme="minorHAnsi"/>
          <w:i/>
          <w:sz w:val="22"/>
          <w:szCs w:val="22"/>
        </w:rPr>
        <w:t xml:space="preserve">Dėl </w:t>
      </w:r>
      <w:bookmarkEnd w:id="67"/>
      <w:r w:rsidRPr="00A92CA4">
        <w:rPr>
          <w:rFonts w:asciiTheme="minorHAnsi" w:eastAsia="Calibri" w:hAnsiTheme="minorHAnsi" w:cstheme="minorHAnsi"/>
          <w:i/>
          <w:sz w:val="22"/>
          <w:szCs w:val="22"/>
        </w:rPr>
        <w:t>proceso atnaujinimo objekto nebuvimo – nutartis atsisakyti priimti skundą neatnaujinus termino jam paduoti</w:t>
      </w:r>
      <w:bookmarkEnd w:id="68"/>
    </w:p>
    <w:p w14:paraId="038F9162" w14:textId="77777777" w:rsidR="00A92CA4" w:rsidRPr="001B3662" w:rsidRDefault="00A92CA4" w:rsidP="00A92CA4">
      <w:pPr>
        <w:ind w:firstLine="567"/>
        <w:jc w:val="both"/>
        <w:rPr>
          <w:rFonts w:ascii="Calibri" w:hAnsi="Calibri"/>
          <w:bCs/>
          <w:sz w:val="22"/>
          <w:szCs w:val="22"/>
          <w:lang w:eastAsia="en-US"/>
        </w:rPr>
      </w:pPr>
    </w:p>
    <w:p w14:paraId="43EC0A3E" w14:textId="1FA9ECF6" w:rsidR="00D4086C" w:rsidRPr="00D4086C" w:rsidRDefault="00D4086C" w:rsidP="00D4086C">
      <w:pPr>
        <w:ind w:firstLine="567"/>
        <w:jc w:val="both"/>
        <w:rPr>
          <w:rFonts w:ascii="Calibri" w:hAnsi="Calibri"/>
          <w:bCs/>
          <w:sz w:val="22"/>
          <w:szCs w:val="22"/>
          <w:lang w:eastAsia="en-US"/>
        </w:rPr>
      </w:pPr>
      <w:r w:rsidRPr="00D4086C">
        <w:rPr>
          <w:rFonts w:ascii="Calibri" w:hAnsi="Calibri"/>
          <w:bCs/>
          <w:sz w:val="22"/>
          <w:szCs w:val="22"/>
          <w:lang w:eastAsia="en-US"/>
        </w:rPr>
        <w:t>Administracinėje byloje buvo nagrinėjamas pareiškėjo V. E. prašymas atnaujinti procesą administracinėje byloje Nr. eAS-477-575/2024, kuri</w:t>
      </w:r>
      <w:r w:rsidR="00D74FF7">
        <w:rPr>
          <w:rFonts w:ascii="Calibri" w:hAnsi="Calibri"/>
          <w:bCs/>
          <w:sz w:val="22"/>
          <w:szCs w:val="22"/>
          <w:lang w:eastAsia="en-US"/>
        </w:rPr>
        <w:t>oje</w:t>
      </w:r>
      <w:r w:rsidRPr="00D4086C">
        <w:rPr>
          <w:rFonts w:ascii="Calibri" w:hAnsi="Calibri"/>
          <w:bCs/>
          <w:sz w:val="22"/>
          <w:szCs w:val="22"/>
          <w:lang w:eastAsia="en-US"/>
        </w:rPr>
        <w:t xml:space="preserve"> LVAT </w:t>
      </w:r>
      <w:r w:rsidR="0017534D" w:rsidRPr="00D4086C">
        <w:rPr>
          <w:rFonts w:ascii="Calibri" w:hAnsi="Calibri"/>
          <w:bCs/>
          <w:sz w:val="22"/>
          <w:szCs w:val="22"/>
          <w:lang w:eastAsia="en-US"/>
        </w:rPr>
        <w:t xml:space="preserve">2024 m. rugsėjo 11 d. </w:t>
      </w:r>
      <w:r w:rsidRPr="00D4086C">
        <w:rPr>
          <w:rFonts w:ascii="Calibri" w:hAnsi="Calibri"/>
          <w:bCs/>
          <w:sz w:val="22"/>
          <w:szCs w:val="22"/>
          <w:lang w:eastAsia="en-US"/>
        </w:rPr>
        <w:t xml:space="preserve">nutartimi </w:t>
      </w:r>
      <w:r w:rsidR="00D74FF7">
        <w:rPr>
          <w:rFonts w:ascii="Calibri" w:hAnsi="Calibri"/>
          <w:bCs/>
          <w:sz w:val="22"/>
          <w:szCs w:val="22"/>
          <w:lang w:eastAsia="en-US"/>
        </w:rPr>
        <w:t xml:space="preserve">atmetė </w:t>
      </w:r>
      <w:r w:rsidRPr="00D4086C">
        <w:rPr>
          <w:rFonts w:ascii="Calibri" w:hAnsi="Calibri"/>
          <w:bCs/>
          <w:sz w:val="22"/>
          <w:szCs w:val="22"/>
          <w:lang w:eastAsia="en-US"/>
        </w:rPr>
        <w:t xml:space="preserve">pareiškėjo atskirąjį skundą, o Regionų administracinio teismo nutartį, kuria pirmosios instancijos </w:t>
      </w:r>
      <w:r w:rsidR="00D74FF7">
        <w:rPr>
          <w:rFonts w:ascii="Calibri" w:hAnsi="Calibri"/>
          <w:bCs/>
          <w:sz w:val="22"/>
          <w:szCs w:val="22"/>
          <w:lang w:eastAsia="en-US"/>
        </w:rPr>
        <w:t xml:space="preserve">teismas </w:t>
      </w:r>
      <w:r w:rsidRPr="00D4086C">
        <w:rPr>
          <w:rFonts w:ascii="Calibri" w:hAnsi="Calibri"/>
          <w:bCs/>
          <w:sz w:val="22"/>
          <w:szCs w:val="22"/>
          <w:lang w:eastAsia="en-US"/>
        </w:rPr>
        <w:t>netenkino pareiškėjo prašymo atnaujinti terminą skundui paduoti ir atsisakė priimti jo skundą ABTĮ 33 straipsnio 2 dalies 9 punkto pagrindu, paliko nepakeistą.</w:t>
      </w:r>
    </w:p>
    <w:p w14:paraId="5151CB28" w14:textId="47D809CB" w:rsidR="00D4086C" w:rsidRPr="00D4086C" w:rsidRDefault="00D74FF7" w:rsidP="00D4086C">
      <w:pPr>
        <w:ind w:firstLine="567"/>
        <w:jc w:val="both"/>
        <w:rPr>
          <w:rFonts w:ascii="Calibri" w:hAnsi="Calibri"/>
          <w:bCs/>
          <w:sz w:val="22"/>
          <w:szCs w:val="22"/>
          <w:lang w:eastAsia="en-US"/>
        </w:rPr>
      </w:pPr>
      <w:r>
        <w:rPr>
          <w:rFonts w:ascii="Calibri" w:hAnsi="Calibri"/>
          <w:bCs/>
          <w:sz w:val="22"/>
          <w:szCs w:val="22"/>
          <w:lang w:eastAsia="en-US"/>
        </w:rPr>
        <w:t>LVAT t</w:t>
      </w:r>
      <w:r w:rsidR="00D4086C" w:rsidRPr="00D4086C">
        <w:rPr>
          <w:rFonts w:ascii="Calibri" w:hAnsi="Calibri"/>
          <w:bCs/>
          <w:sz w:val="22"/>
          <w:szCs w:val="22"/>
          <w:lang w:eastAsia="en-US"/>
        </w:rPr>
        <w:t xml:space="preserve">eisėjų kolegija pabrėžė, jog pagal ABTĮ 156 straipsnio 1 dalį procesas gali būti atnaujinamas bylose, užbaigtose įsiteisėjusiu teismo sprendimu ar nutartimi. LVAT praktikoje laikomasi pozicijos, jog proceso atnaujinimas administracinėje byloje galimas tik esant ABTĮ 156 straipsnio 2 dalyje nustatytiems proceso atnaujinimo pagrindams, kurie siejami su jau po bylos išnagrinėjimo paaiškėjusiomis aplinkybėmis arba esminiais materialiosios teisės normų pažeidimais (žr., pvz., </w:t>
      </w:r>
      <w:r>
        <w:rPr>
          <w:rFonts w:ascii="Calibri" w:hAnsi="Calibri"/>
          <w:bCs/>
          <w:sz w:val="22"/>
          <w:szCs w:val="22"/>
          <w:lang w:eastAsia="en-US"/>
        </w:rPr>
        <w:t xml:space="preserve">LVAT </w:t>
      </w:r>
      <w:r w:rsidR="00D4086C" w:rsidRPr="00D4086C">
        <w:rPr>
          <w:rFonts w:ascii="Calibri" w:hAnsi="Calibri"/>
          <w:bCs/>
          <w:sz w:val="22"/>
          <w:szCs w:val="22"/>
          <w:lang w:eastAsia="en-US"/>
        </w:rPr>
        <w:t>2016 m. spalio 19 d. nutartį administracinėje byloje Nr.</w:t>
      </w:r>
      <w:r>
        <w:rPr>
          <w:rFonts w:ascii="Calibri" w:hAnsi="Calibri"/>
          <w:bCs/>
          <w:sz w:val="22"/>
          <w:szCs w:val="22"/>
          <w:lang w:eastAsia="en-US"/>
        </w:rPr>
        <w:t> </w:t>
      </w:r>
      <w:r w:rsidR="00D4086C" w:rsidRPr="00D4086C">
        <w:rPr>
          <w:rFonts w:ascii="Calibri" w:hAnsi="Calibri"/>
          <w:bCs/>
          <w:sz w:val="22"/>
          <w:szCs w:val="22"/>
          <w:lang w:eastAsia="en-US"/>
        </w:rPr>
        <w:t xml:space="preserve">eP-71-624/2016; 2016 m. lapkričio 18 d. nutartį administracinėje byloje Nr. P-75-520/2016), taigi proceso atnaujinimas ABTĮ 156 straipsnio 1 dalies prasme galimas tik tose bylose, kuriose išspręsti materialieji, o ne procesiniai reikalavimai (žr., pvz., </w:t>
      </w:r>
      <w:r>
        <w:rPr>
          <w:rFonts w:ascii="Calibri" w:hAnsi="Calibri"/>
          <w:bCs/>
          <w:sz w:val="22"/>
          <w:szCs w:val="22"/>
          <w:lang w:eastAsia="en-US"/>
        </w:rPr>
        <w:t xml:space="preserve">LVAT </w:t>
      </w:r>
      <w:r w:rsidR="00D4086C" w:rsidRPr="00D4086C">
        <w:rPr>
          <w:rFonts w:ascii="Calibri" w:hAnsi="Calibri"/>
          <w:bCs/>
          <w:sz w:val="22"/>
          <w:szCs w:val="22"/>
          <w:lang w:eastAsia="en-US"/>
        </w:rPr>
        <w:t>2017 m. rugsėjo 13 d. nutartį administracinėje byloje Nr. eP-65-438/2017; 2021 m. vasario 24 d. nutartį administracinėje byloje Nr. P-24-662/2021).</w:t>
      </w:r>
    </w:p>
    <w:p w14:paraId="35F7A4B6" w14:textId="59C945F1" w:rsidR="00A92CA4" w:rsidRDefault="00D4086C" w:rsidP="00D4086C">
      <w:pPr>
        <w:ind w:firstLine="567"/>
        <w:jc w:val="both"/>
        <w:rPr>
          <w:rFonts w:ascii="Calibri" w:hAnsi="Calibri"/>
          <w:bCs/>
          <w:sz w:val="22"/>
          <w:szCs w:val="22"/>
          <w:lang w:eastAsia="en-US"/>
        </w:rPr>
      </w:pPr>
      <w:r w:rsidRPr="00D4086C">
        <w:rPr>
          <w:rFonts w:ascii="Calibri" w:hAnsi="Calibri"/>
          <w:bCs/>
          <w:sz w:val="22"/>
          <w:szCs w:val="22"/>
          <w:lang w:eastAsia="en-US"/>
        </w:rPr>
        <w:t xml:space="preserve">LVAT nurodė, jog šiuo atveju pareiškėjo teisme keltas ginčas dėl </w:t>
      </w:r>
      <w:r w:rsidR="0017534D" w:rsidRPr="0017534D">
        <w:rPr>
          <w:rFonts w:ascii="Calibri" w:hAnsi="Calibri"/>
          <w:bCs/>
          <w:sz w:val="22"/>
          <w:szCs w:val="22"/>
          <w:lang w:eastAsia="en-US"/>
        </w:rPr>
        <w:t>Muitinės departamento prie Lietuvos Respublikos finansų ministerijos</w:t>
      </w:r>
      <w:r w:rsidR="0017534D">
        <w:rPr>
          <w:rFonts w:ascii="Calibri" w:hAnsi="Calibri"/>
          <w:bCs/>
          <w:sz w:val="22"/>
          <w:szCs w:val="22"/>
          <w:lang w:eastAsia="en-US"/>
        </w:rPr>
        <w:t xml:space="preserve"> </w:t>
      </w:r>
      <w:r w:rsidRPr="00D4086C">
        <w:rPr>
          <w:rFonts w:ascii="Calibri" w:hAnsi="Calibri"/>
          <w:bCs/>
          <w:sz w:val="22"/>
          <w:szCs w:val="22"/>
          <w:lang w:eastAsia="en-US"/>
        </w:rPr>
        <w:t>direktoriaus įsakymo „Dėl V. E. atleidimo iš vidaus tarybos“ panaikinimo ir įpareigojimo atlikti veiksmus nebuvo nagrinėjamas iš esmės, tad LVAT 2024 m. rugsėjo 11 d. nutartis nėra procesinis dokumentas, kuriuo byla išnagrinėta iš esmės ABTĮ 156 straipsnio 1 dalies prasme, todėl negali būti proceso atnaujinimo objektu, o prašymą atnaujinti procesą administracinėje byloje Nr. eAS-477-575/2024 atsisakytina priimti.</w:t>
      </w:r>
    </w:p>
    <w:p w14:paraId="7D79D064" w14:textId="77777777" w:rsidR="00D4086C" w:rsidRPr="001B3662" w:rsidRDefault="00D4086C" w:rsidP="00D4086C">
      <w:pPr>
        <w:ind w:firstLine="567"/>
        <w:jc w:val="both"/>
        <w:rPr>
          <w:rFonts w:ascii="Calibri" w:hAnsi="Calibri"/>
          <w:bCs/>
          <w:sz w:val="22"/>
          <w:szCs w:val="22"/>
          <w:lang w:eastAsia="en-US"/>
        </w:rPr>
      </w:pPr>
    </w:p>
    <w:p w14:paraId="7876A7E4" w14:textId="2477C94A" w:rsidR="00A92CA4" w:rsidRPr="001B3662" w:rsidRDefault="00A92CA4" w:rsidP="00A92CA4">
      <w:pPr>
        <w:jc w:val="both"/>
        <w:rPr>
          <w:rFonts w:ascii="Calibri" w:hAnsi="Calibri"/>
          <w:bCs/>
          <w:sz w:val="22"/>
          <w:szCs w:val="22"/>
          <w:lang w:eastAsia="en-US"/>
        </w:rPr>
      </w:pPr>
      <w:r w:rsidRPr="001B3662">
        <w:rPr>
          <w:rFonts w:ascii="Calibri" w:hAnsi="Calibri"/>
          <w:bCs/>
          <w:sz w:val="22"/>
          <w:szCs w:val="22"/>
          <w:lang w:eastAsia="en-US"/>
        </w:rPr>
        <w:t xml:space="preserve">2024 m. </w:t>
      </w:r>
      <w:r>
        <w:rPr>
          <w:rFonts w:ascii="Calibri" w:hAnsi="Calibri"/>
          <w:bCs/>
          <w:sz w:val="22"/>
          <w:szCs w:val="22"/>
          <w:lang w:eastAsia="en-US"/>
        </w:rPr>
        <w:t>lapkričio 20</w:t>
      </w:r>
      <w:r w:rsidRPr="001B3662">
        <w:rPr>
          <w:rFonts w:ascii="Calibri" w:hAnsi="Calibri"/>
          <w:bCs/>
          <w:sz w:val="22"/>
          <w:szCs w:val="22"/>
          <w:lang w:eastAsia="en-US"/>
        </w:rPr>
        <w:t xml:space="preserve"> d. nutartis administracinėje byloje </w:t>
      </w:r>
      <w:r w:rsidRPr="00AC0287">
        <w:rPr>
          <w:rFonts w:ascii="Calibri" w:hAnsi="Calibri"/>
          <w:bCs/>
          <w:sz w:val="22"/>
          <w:szCs w:val="22"/>
          <w:lang w:eastAsia="en-US"/>
        </w:rPr>
        <w:t>Nr.</w:t>
      </w:r>
      <w:r w:rsidR="003B718F">
        <w:rPr>
          <w:rFonts w:ascii="Calibri" w:hAnsi="Calibri"/>
          <w:bCs/>
          <w:sz w:val="22"/>
          <w:szCs w:val="22"/>
          <w:lang w:eastAsia="en-US"/>
        </w:rPr>
        <w:t xml:space="preserve"> </w:t>
      </w:r>
      <w:r w:rsidRPr="00AC0287">
        <w:rPr>
          <w:rFonts w:ascii="Calibri" w:hAnsi="Calibri"/>
          <w:bCs/>
          <w:sz w:val="22"/>
          <w:szCs w:val="22"/>
          <w:lang w:eastAsia="en-US"/>
        </w:rPr>
        <w:t>eP-78-1188/2024</w:t>
      </w:r>
    </w:p>
    <w:p w14:paraId="7B13C47E" w14:textId="66ED366B" w:rsidR="00A92CA4" w:rsidRPr="001B3662" w:rsidRDefault="00A92CA4" w:rsidP="00A92CA4">
      <w:pPr>
        <w:jc w:val="both"/>
        <w:rPr>
          <w:rFonts w:ascii="Calibri" w:hAnsi="Calibri"/>
          <w:bCs/>
          <w:sz w:val="22"/>
          <w:szCs w:val="22"/>
          <w:lang w:eastAsia="en-US"/>
        </w:rPr>
      </w:pPr>
      <w:r w:rsidRPr="001B3662">
        <w:rPr>
          <w:rFonts w:ascii="Calibri" w:hAnsi="Calibri"/>
          <w:bCs/>
          <w:sz w:val="22"/>
          <w:szCs w:val="22"/>
          <w:lang w:eastAsia="en-US"/>
        </w:rPr>
        <w:t xml:space="preserve">Teisminio proceso </w:t>
      </w:r>
      <w:r w:rsidRPr="00AC0287">
        <w:rPr>
          <w:rFonts w:ascii="Calibri" w:hAnsi="Calibri"/>
          <w:bCs/>
          <w:sz w:val="22"/>
          <w:szCs w:val="22"/>
          <w:lang w:eastAsia="en-US"/>
        </w:rPr>
        <w:t>Nr.</w:t>
      </w:r>
      <w:r w:rsidR="00EE2403">
        <w:rPr>
          <w:rFonts w:ascii="Calibri" w:hAnsi="Calibri"/>
          <w:bCs/>
          <w:sz w:val="22"/>
          <w:szCs w:val="22"/>
          <w:lang w:eastAsia="en-US"/>
        </w:rPr>
        <w:t xml:space="preserve"> </w:t>
      </w:r>
      <w:r w:rsidRPr="00AC0287">
        <w:rPr>
          <w:rFonts w:ascii="Calibri" w:hAnsi="Calibri"/>
          <w:bCs/>
          <w:sz w:val="22"/>
          <w:szCs w:val="22"/>
          <w:lang w:eastAsia="en-US"/>
        </w:rPr>
        <w:t>3-61-3-02724-2024-6</w:t>
      </w:r>
    </w:p>
    <w:p w14:paraId="406620EA" w14:textId="77777777" w:rsidR="00A92CA4" w:rsidRPr="00690521" w:rsidRDefault="00A92CA4" w:rsidP="00A92CA4">
      <w:pPr>
        <w:jc w:val="both"/>
        <w:rPr>
          <w:rFonts w:ascii="Calibri" w:hAnsi="Calibri"/>
          <w:bCs/>
          <w:sz w:val="22"/>
          <w:szCs w:val="22"/>
          <w:lang w:eastAsia="en-US"/>
        </w:rPr>
      </w:pPr>
      <w:hyperlink r:id="rId36" w:history="1">
        <w:r w:rsidRPr="00690521">
          <w:rPr>
            <w:rStyle w:val="Hyperlink"/>
            <w:rFonts w:ascii="Calibri" w:hAnsi="Calibri"/>
            <w:bCs/>
            <w:sz w:val="22"/>
            <w:szCs w:val="22"/>
            <w:lang w:eastAsia="en-US"/>
          </w:rPr>
          <w:t>Prieiga internete</w:t>
        </w:r>
      </w:hyperlink>
    </w:p>
    <w:p w14:paraId="290996B0" w14:textId="77777777" w:rsidR="00A92CA4" w:rsidRPr="00C6221C" w:rsidRDefault="00A92CA4" w:rsidP="00A92CA4">
      <w:pPr>
        <w:ind w:firstLine="567"/>
        <w:jc w:val="both"/>
        <w:rPr>
          <w:rFonts w:ascii="Calibri" w:hAnsi="Calibri"/>
          <w:bCs/>
          <w:sz w:val="22"/>
          <w:szCs w:val="22"/>
          <w:lang w:eastAsia="en-US"/>
        </w:rPr>
      </w:pPr>
    </w:p>
    <w:p w14:paraId="6FE6A411" w14:textId="77777777" w:rsidR="00A92CA4" w:rsidRPr="00A92CA4" w:rsidRDefault="00A92CA4" w:rsidP="00A92CA4">
      <w:pPr>
        <w:jc w:val="both"/>
        <w:outlineLvl w:val="1"/>
        <w:rPr>
          <w:rFonts w:asciiTheme="minorHAnsi" w:eastAsia="Calibri" w:hAnsiTheme="minorHAnsi" w:cstheme="minorHAnsi"/>
          <w:i/>
          <w:sz w:val="22"/>
          <w:szCs w:val="22"/>
        </w:rPr>
      </w:pPr>
      <w:bookmarkStart w:id="69" w:name="_Toc187075173"/>
      <w:r w:rsidRPr="00A92CA4">
        <w:rPr>
          <w:rFonts w:asciiTheme="minorHAnsi" w:eastAsia="Calibri" w:hAnsiTheme="minorHAnsi" w:cstheme="minorHAnsi"/>
          <w:i/>
          <w:sz w:val="22"/>
          <w:szCs w:val="22"/>
        </w:rPr>
        <w:t>Dėl proceso atnaujinimo objekto nebuvimo – nutartis sujungti bylas ir perduoti bylą nagrinėti iš naujo</w:t>
      </w:r>
      <w:bookmarkEnd w:id="69"/>
    </w:p>
    <w:p w14:paraId="7E3120F9" w14:textId="77777777" w:rsidR="00A92CA4" w:rsidRDefault="00A92CA4" w:rsidP="00A92CA4">
      <w:pPr>
        <w:ind w:firstLine="567"/>
        <w:jc w:val="both"/>
        <w:rPr>
          <w:rFonts w:ascii="Calibri" w:hAnsi="Calibri"/>
          <w:bCs/>
          <w:sz w:val="22"/>
          <w:szCs w:val="22"/>
          <w:lang w:eastAsia="en-US"/>
        </w:rPr>
      </w:pPr>
    </w:p>
    <w:p w14:paraId="2EA9B98B" w14:textId="7FE3C11B" w:rsidR="00D4086C" w:rsidRPr="00D4086C" w:rsidRDefault="00D4086C" w:rsidP="00D4086C">
      <w:pPr>
        <w:ind w:firstLine="567"/>
        <w:jc w:val="both"/>
        <w:rPr>
          <w:rFonts w:ascii="Calibri" w:hAnsi="Calibri"/>
          <w:bCs/>
          <w:sz w:val="22"/>
          <w:szCs w:val="22"/>
          <w:lang w:eastAsia="en-US"/>
        </w:rPr>
      </w:pPr>
      <w:r w:rsidRPr="00D4086C">
        <w:rPr>
          <w:rFonts w:ascii="Calibri" w:hAnsi="Calibri"/>
          <w:bCs/>
          <w:sz w:val="22"/>
          <w:szCs w:val="22"/>
          <w:lang w:eastAsia="en-US"/>
        </w:rPr>
        <w:t>Administracinėje byloje buvo nagrinėjamas Druskininkų savivaldybės administracijos prašymas atnaujinti procesą administracinėje byloje Nr. eA-2293-556/2024, kuri LVAT nutartimi sujungta su kita byla į vieną administracinę bylą bei perduota pirmosios instancijos teismui nagrinėti iš naujo.</w:t>
      </w:r>
    </w:p>
    <w:p w14:paraId="403FE4FC" w14:textId="5CDA30BC" w:rsidR="00D4086C" w:rsidRPr="00D4086C" w:rsidRDefault="00FA52DC" w:rsidP="00D4086C">
      <w:pPr>
        <w:ind w:firstLine="567"/>
        <w:jc w:val="both"/>
        <w:rPr>
          <w:rFonts w:ascii="Calibri" w:hAnsi="Calibri"/>
          <w:bCs/>
          <w:sz w:val="22"/>
          <w:szCs w:val="22"/>
          <w:lang w:eastAsia="en-US"/>
        </w:rPr>
      </w:pPr>
      <w:r>
        <w:rPr>
          <w:rFonts w:ascii="Calibri" w:hAnsi="Calibri"/>
          <w:bCs/>
          <w:sz w:val="22"/>
          <w:szCs w:val="22"/>
          <w:lang w:eastAsia="en-US"/>
        </w:rPr>
        <w:t>LVA</w:t>
      </w:r>
      <w:r w:rsidR="00D4086C" w:rsidRPr="00D4086C">
        <w:rPr>
          <w:rFonts w:ascii="Calibri" w:hAnsi="Calibri"/>
          <w:bCs/>
          <w:sz w:val="22"/>
          <w:szCs w:val="22"/>
          <w:lang w:eastAsia="en-US"/>
        </w:rPr>
        <w:t>T</w:t>
      </w:r>
      <w:r>
        <w:rPr>
          <w:rFonts w:ascii="Calibri" w:hAnsi="Calibri"/>
          <w:bCs/>
          <w:sz w:val="22"/>
          <w:szCs w:val="22"/>
          <w:lang w:eastAsia="en-US"/>
        </w:rPr>
        <w:t xml:space="preserve"> t</w:t>
      </w:r>
      <w:r w:rsidR="00D4086C" w:rsidRPr="00D4086C">
        <w:rPr>
          <w:rFonts w:ascii="Calibri" w:hAnsi="Calibri"/>
          <w:bCs/>
          <w:sz w:val="22"/>
          <w:szCs w:val="22"/>
          <w:lang w:eastAsia="en-US"/>
        </w:rPr>
        <w:t xml:space="preserve">eisėjų kolegija pabrėžė, jog pagal ABTĮ 156 straipsnio 1 dalį procesas gali būti atnaujinamas bylose, užbaigtose įsiteisėjusiu teismo sprendimu ar nutartimi. LVAT praktikoje laikomasi pozicijos, jog proceso atnaujinimas administracinėje byloje galimas tik esant ABTĮ 156 straipsnio 2 dalyje nustatytiems proceso atnaujinimo pagrindams, kurie siejami su jau po bylos išnagrinėjimo paaiškėjusiomis aplinkybėmis arba esminiais materialiosios teisės normų pažeidimais (žr., pvz., </w:t>
      </w:r>
      <w:r w:rsidR="00AF39C9">
        <w:rPr>
          <w:rFonts w:ascii="Calibri" w:hAnsi="Calibri"/>
          <w:bCs/>
          <w:sz w:val="22"/>
          <w:szCs w:val="22"/>
          <w:lang w:eastAsia="en-US"/>
        </w:rPr>
        <w:t xml:space="preserve">LVAT </w:t>
      </w:r>
      <w:r w:rsidR="00D4086C" w:rsidRPr="00D4086C">
        <w:rPr>
          <w:rFonts w:ascii="Calibri" w:hAnsi="Calibri"/>
          <w:bCs/>
          <w:sz w:val="22"/>
          <w:szCs w:val="22"/>
          <w:lang w:eastAsia="en-US"/>
        </w:rPr>
        <w:t>2016 m. spalio 19 d. nutartį administracinėje byloje Nr.</w:t>
      </w:r>
      <w:r w:rsidR="00AF39C9">
        <w:rPr>
          <w:rFonts w:ascii="Calibri" w:hAnsi="Calibri"/>
          <w:bCs/>
          <w:sz w:val="22"/>
          <w:szCs w:val="22"/>
          <w:lang w:eastAsia="en-US"/>
        </w:rPr>
        <w:t> </w:t>
      </w:r>
      <w:r w:rsidR="00D4086C" w:rsidRPr="00D4086C">
        <w:rPr>
          <w:rFonts w:ascii="Calibri" w:hAnsi="Calibri"/>
          <w:bCs/>
          <w:sz w:val="22"/>
          <w:szCs w:val="22"/>
          <w:lang w:eastAsia="en-US"/>
        </w:rPr>
        <w:t xml:space="preserve">eP-71-624/2016; 2016 m. lapkričio 18 d. nutartį administracinėje byloje Nr. P-75-520/2016), taigi proceso atnaujinimas ABTĮ 156 straipsnio 1 dalies prasme galimas tik tose bylose, kuriose išspręsti materialieji, o ne procesiniai reikalavimai (žr., pvz., </w:t>
      </w:r>
      <w:r w:rsidR="00AF39C9">
        <w:rPr>
          <w:rFonts w:ascii="Calibri" w:hAnsi="Calibri"/>
          <w:bCs/>
          <w:sz w:val="22"/>
          <w:szCs w:val="22"/>
          <w:lang w:eastAsia="en-US"/>
        </w:rPr>
        <w:t xml:space="preserve">LVAT </w:t>
      </w:r>
      <w:r w:rsidR="00D4086C" w:rsidRPr="00D4086C">
        <w:rPr>
          <w:rFonts w:ascii="Calibri" w:hAnsi="Calibri"/>
          <w:bCs/>
          <w:sz w:val="22"/>
          <w:szCs w:val="22"/>
          <w:lang w:eastAsia="en-US"/>
        </w:rPr>
        <w:t>2017 m. rugsėjo 13 d. nutartį administracinėje byloje Nr. eP-65-438/2017; 2021 m. vasario 24 d. nutartį administracinėje byloje Nr. P-24-662/2021).</w:t>
      </w:r>
    </w:p>
    <w:p w14:paraId="65B039EF" w14:textId="6E406911" w:rsidR="00A92CA4" w:rsidRDefault="00D4086C" w:rsidP="00D4086C">
      <w:pPr>
        <w:ind w:firstLine="567"/>
        <w:jc w:val="both"/>
        <w:rPr>
          <w:rFonts w:ascii="Calibri" w:hAnsi="Calibri"/>
          <w:bCs/>
          <w:sz w:val="22"/>
          <w:szCs w:val="22"/>
          <w:lang w:eastAsia="en-US"/>
        </w:rPr>
      </w:pPr>
      <w:r w:rsidRPr="00D4086C">
        <w:rPr>
          <w:rFonts w:ascii="Calibri" w:hAnsi="Calibri"/>
          <w:bCs/>
          <w:sz w:val="22"/>
          <w:szCs w:val="22"/>
          <w:lang w:eastAsia="en-US"/>
        </w:rPr>
        <w:t>LVAT nurodė, jog šiuo atveju pareiškėjo teisme keltas ginčas nebuvo nagrinėjamas iš esmės, todėl nėra proceso atnaujinimo objekto, o prašymą atnaujinti procesą administracinėje byloje Nr. eA-2293-556/2024 atsisakytina priimti.</w:t>
      </w:r>
    </w:p>
    <w:p w14:paraId="3178C0D1" w14:textId="77777777" w:rsidR="00D4086C" w:rsidRPr="001B3662" w:rsidRDefault="00D4086C" w:rsidP="00D4086C">
      <w:pPr>
        <w:ind w:firstLine="567"/>
        <w:jc w:val="both"/>
        <w:rPr>
          <w:rFonts w:ascii="Calibri" w:hAnsi="Calibri"/>
          <w:bCs/>
          <w:sz w:val="22"/>
          <w:szCs w:val="22"/>
          <w:lang w:eastAsia="en-US"/>
        </w:rPr>
      </w:pPr>
    </w:p>
    <w:p w14:paraId="34AB69B4" w14:textId="22601049" w:rsidR="00A92CA4" w:rsidRPr="001B3662" w:rsidRDefault="00A92CA4" w:rsidP="00A92CA4">
      <w:pPr>
        <w:jc w:val="both"/>
        <w:rPr>
          <w:rFonts w:ascii="Calibri" w:hAnsi="Calibri"/>
          <w:bCs/>
          <w:sz w:val="22"/>
          <w:szCs w:val="22"/>
          <w:lang w:eastAsia="en-US"/>
        </w:rPr>
      </w:pPr>
      <w:r w:rsidRPr="001B3662">
        <w:rPr>
          <w:rFonts w:ascii="Calibri" w:hAnsi="Calibri"/>
          <w:bCs/>
          <w:sz w:val="22"/>
          <w:szCs w:val="22"/>
          <w:lang w:eastAsia="en-US"/>
        </w:rPr>
        <w:t xml:space="preserve">2024 m. </w:t>
      </w:r>
      <w:r>
        <w:rPr>
          <w:rFonts w:ascii="Calibri" w:hAnsi="Calibri"/>
          <w:bCs/>
          <w:sz w:val="22"/>
          <w:szCs w:val="22"/>
          <w:lang w:eastAsia="en-US"/>
        </w:rPr>
        <w:t xml:space="preserve">lapkričio </w:t>
      </w:r>
      <w:r w:rsidR="00D4568A">
        <w:rPr>
          <w:rFonts w:ascii="Calibri" w:hAnsi="Calibri"/>
          <w:bCs/>
          <w:sz w:val="22"/>
          <w:szCs w:val="22"/>
          <w:lang w:eastAsia="en-US"/>
        </w:rPr>
        <w:t>6</w:t>
      </w:r>
      <w:r w:rsidRPr="001B3662">
        <w:rPr>
          <w:rFonts w:ascii="Calibri" w:hAnsi="Calibri"/>
          <w:bCs/>
          <w:sz w:val="22"/>
          <w:szCs w:val="22"/>
          <w:lang w:eastAsia="en-US"/>
        </w:rPr>
        <w:t xml:space="preserve"> d. nutartis administracinėje byloje </w:t>
      </w:r>
      <w:r w:rsidRPr="005169D1">
        <w:rPr>
          <w:rFonts w:ascii="Calibri" w:hAnsi="Calibri"/>
          <w:bCs/>
          <w:sz w:val="22"/>
          <w:szCs w:val="22"/>
          <w:lang w:eastAsia="en-US"/>
        </w:rPr>
        <w:t>Nr.</w:t>
      </w:r>
      <w:r w:rsidR="003B718F">
        <w:rPr>
          <w:rFonts w:ascii="Calibri" w:hAnsi="Calibri"/>
          <w:bCs/>
          <w:sz w:val="22"/>
          <w:szCs w:val="22"/>
          <w:lang w:eastAsia="en-US"/>
        </w:rPr>
        <w:t xml:space="preserve"> </w:t>
      </w:r>
      <w:r w:rsidRPr="005169D1">
        <w:rPr>
          <w:rFonts w:ascii="Calibri" w:hAnsi="Calibri"/>
          <w:bCs/>
          <w:sz w:val="22"/>
          <w:szCs w:val="22"/>
          <w:lang w:eastAsia="en-US"/>
        </w:rPr>
        <w:t>eP-71-525/2024</w:t>
      </w:r>
    </w:p>
    <w:p w14:paraId="2F02FD1A" w14:textId="487E3148" w:rsidR="00A92CA4" w:rsidRDefault="00A92CA4" w:rsidP="00A92CA4">
      <w:pPr>
        <w:jc w:val="both"/>
        <w:rPr>
          <w:rFonts w:ascii="Calibri" w:hAnsi="Calibri"/>
          <w:bCs/>
          <w:sz w:val="22"/>
          <w:szCs w:val="22"/>
          <w:lang w:eastAsia="en-US"/>
        </w:rPr>
      </w:pPr>
      <w:r w:rsidRPr="001B3662">
        <w:rPr>
          <w:rFonts w:ascii="Calibri" w:hAnsi="Calibri"/>
          <w:bCs/>
          <w:sz w:val="22"/>
          <w:szCs w:val="22"/>
          <w:lang w:eastAsia="en-US"/>
        </w:rPr>
        <w:t xml:space="preserve">Teisminio proceso </w:t>
      </w:r>
      <w:r w:rsidRPr="005169D1">
        <w:rPr>
          <w:rFonts w:ascii="Calibri" w:hAnsi="Calibri"/>
          <w:bCs/>
          <w:sz w:val="22"/>
          <w:szCs w:val="22"/>
          <w:lang w:eastAsia="en-US"/>
        </w:rPr>
        <w:t>Nr.</w:t>
      </w:r>
      <w:r w:rsidR="00D4568A">
        <w:rPr>
          <w:rFonts w:ascii="Calibri" w:hAnsi="Calibri"/>
          <w:bCs/>
          <w:sz w:val="22"/>
          <w:szCs w:val="22"/>
          <w:lang w:eastAsia="en-US"/>
        </w:rPr>
        <w:t xml:space="preserve"> </w:t>
      </w:r>
      <w:r w:rsidRPr="005169D1">
        <w:rPr>
          <w:rFonts w:ascii="Calibri" w:hAnsi="Calibri"/>
          <w:bCs/>
          <w:sz w:val="22"/>
          <w:szCs w:val="22"/>
          <w:lang w:eastAsia="en-US"/>
        </w:rPr>
        <w:t>3-61-3-00501-2022-5</w:t>
      </w:r>
    </w:p>
    <w:p w14:paraId="20B498B4" w14:textId="77777777" w:rsidR="00A92CA4" w:rsidRPr="001B3662" w:rsidRDefault="00A92CA4" w:rsidP="00A92CA4">
      <w:pPr>
        <w:jc w:val="both"/>
        <w:rPr>
          <w:rFonts w:ascii="Calibri" w:hAnsi="Calibri"/>
          <w:bCs/>
          <w:sz w:val="22"/>
          <w:szCs w:val="22"/>
          <w:lang w:eastAsia="en-US"/>
        </w:rPr>
      </w:pPr>
      <w:hyperlink r:id="rId37" w:history="1">
        <w:r w:rsidRPr="00690521">
          <w:rPr>
            <w:rStyle w:val="Hyperlink"/>
            <w:rFonts w:ascii="Calibri" w:hAnsi="Calibri"/>
            <w:bCs/>
            <w:sz w:val="22"/>
            <w:szCs w:val="22"/>
            <w:lang w:eastAsia="en-US"/>
          </w:rPr>
          <w:t>Prieiga internete</w:t>
        </w:r>
      </w:hyperlink>
    </w:p>
    <w:p w14:paraId="34846A49" w14:textId="77777777" w:rsidR="00A92CA4" w:rsidRPr="003756A5" w:rsidRDefault="00A92CA4" w:rsidP="006A72A7">
      <w:pPr>
        <w:ind w:firstLine="567"/>
        <w:jc w:val="both"/>
        <w:rPr>
          <w:rFonts w:asciiTheme="minorHAnsi" w:hAnsiTheme="minorHAnsi" w:cstheme="minorHAnsi"/>
          <w:sz w:val="22"/>
          <w:szCs w:val="22"/>
        </w:rPr>
      </w:pPr>
    </w:p>
    <w:p w14:paraId="3D7BC9B4" w14:textId="63CE0B9F" w:rsidR="0002557A" w:rsidRPr="003756A5" w:rsidRDefault="002C270B" w:rsidP="00C67F0E">
      <w:pPr>
        <w:jc w:val="center"/>
        <w:rPr>
          <w:rFonts w:asciiTheme="minorHAnsi" w:hAnsiTheme="minorHAnsi" w:cstheme="minorHAnsi"/>
          <w:b/>
          <w:sz w:val="22"/>
          <w:szCs w:val="22"/>
          <w:u w:val="single"/>
        </w:rPr>
      </w:pPr>
      <w:r w:rsidRPr="003756A5">
        <w:rPr>
          <w:rFonts w:asciiTheme="minorHAnsi" w:hAnsiTheme="minorHAnsi" w:cstheme="minorHAnsi"/>
          <w:b/>
          <w:sz w:val="22"/>
          <w:szCs w:val="22"/>
          <w:u w:val="single"/>
        </w:rPr>
        <w:t>_________________</w:t>
      </w:r>
      <w:bookmarkEnd w:id="9"/>
      <w:bookmarkEnd w:id="10"/>
    </w:p>
    <w:sectPr w:rsidR="0002557A" w:rsidRPr="003756A5" w:rsidSect="00171453">
      <w:headerReference w:type="default" r:id="rId38"/>
      <w:footerReference w:type="even" r:id="rId39"/>
      <w:footerReference w:type="default" r:id="rId40"/>
      <w:pgSz w:w="11906" w:h="16838"/>
      <w:pgMar w:top="1134" w:right="567" w:bottom="1134"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DDDE5A" w14:textId="77777777" w:rsidR="00C50BD5" w:rsidRDefault="00C50BD5" w:rsidP="003D4C15">
      <w:r>
        <w:separator/>
      </w:r>
    </w:p>
  </w:endnote>
  <w:endnote w:type="continuationSeparator" w:id="0">
    <w:p w14:paraId="4B877157" w14:textId="77777777" w:rsidR="00C50BD5" w:rsidRDefault="00C50BD5"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ourier New">
    <w:panose1 w:val="02070309020205020404"/>
    <w:charset w:val="BA"/>
    <w:family w:val="modern"/>
    <w:pitch w:val="fixed"/>
    <w:sig w:usb0="E0002EFF" w:usb1="C0007843"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imesLT">
    <w:altName w:val="Times New Roman"/>
    <w:panose1 w:val="00000000000000000000"/>
    <w:charset w:val="01"/>
    <w:family w:val="roman"/>
    <w:pitch w:val="default"/>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MS Reference Sans Serif">
    <w:panose1 w:val="020B0604030504040204"/>
    <w:charset w:val="00"/>
    <w:family w:val="swiss"/>
    <w:pitch w:val="variable"/>
    <w:sig w:usb0="20000287" w:usb1="00000000" w:usb2="00000000" w:usb3="00000000" w:csb0="0000019F" w:csb1="00000000"/>
  </w:font>
  <w:font w:name="Cambria Math">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1EA27" w14:textId="77777777" w:rsidR="001213B4" w:rsidRDefault="001213B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7F0AADE" w14:textId="77777777" w:rsidR="001213B4" w:rsidRDefault="001213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6E5C9" w14:textId="77777777" w:rsidR="001213B4" w:rsidRPr="00386C1C" w:rsidRDefault="001213B4">
    <w:pPr>
      <w:pStyle w:val="Footer"/>
      <w:jc w:val="center"/>
      <w:rPr>
        <w:rFonts w:asciiTheme="minorHAnsi" w:hAnsiTheme="minorHAnsi"/>
        <w:sz w:val="20"/>
        <w:szCs w:val="20"/>
      </w:rPr>
    </w:pPr>
    <w:r w:rsidRPr="00386C1C">
      <w:rPr>
        <w:rStyle w:val="PageNumber"/>
        <w:rFonts w:asciiTheme="minorHAnsi" w:hAnsiTheme="minorHAnsi"/>
        <w:sz w:val="20"/>
        <w:szCs w:val="20"/>
      </w:rPr>
      <w:fldChar w:fldCharType="begin"/>
    </w:r>
    <w:r w:rsidRPr="00386C1C">
      <w:rPr>
        <w:rStyle w:val="PageNumber"/>
        <w:rFonts w:asciiTheme="minorHAnsi" w:hAnsiTheme="minorHAnsi"/>
        <w:sz w:val="20"/>
        <w:szCs w:val="20"/>
      </w:rPr>
      <w:instrText xml:space="preserve"> PAGE </w:instrText>
    </w:r>
    <w:r w:rsidRPr="00386C1C">
      <w:rPr>
        <w:rStyle w:val="PageNumber"/>
        <w:rFonts w:asciiTheme="minorHAnsi" w:hAnsiTheme="minorHAnsi"/>
        <w:sz w:val="20"/>
        <w:szCs w:val="20"/>
      </w:rPr>
      <w:fldChar w:fldCharType="separate"/>
    </w:r>
    <w:r>
      <w:rPr>
        <w:rStyle w:val="PageNumber"/>
        <w:rFonts w:asciiTheme="minorHAnsi" w:hAnsiTheme="minorHAnsi"/>
        <w:noProof/>
        <w:sz w:val="20"/>
        <w:szCs w:val="20"/>
      </w:rPr>
      <w:t>8</w:t>
    </w:r>
    <w:r w:rsidRPr="00386C1C">
      <w:rPr>
        <w:rStyle w:val="PageNumber"/>
        <w:rFonts w:asciiTheme="minorHAnsi" w:hAnsiTheme="minorHAnsi"/>
        <w:sz w:val="20"/>
        <w:szCs w:val="20"/>
      </w:rPr>
      <w:fldChar w:fldCharType="end"/>
    </w:r>
    <w:r w:rsidRPr="00386C1C">
      <w:rPr>
        <w:rStyle w:val="PageNumber"/>
        <w:rFonts w:asciiTheme="minorHAnsi" w:hAnsiTheme="minorHAnsi"/>
        <w:sz w:val="20"/>
        <w:szCs w:val="20"/>
      </w:rPr>
      <w:t xml:space="preserve"> / </w:t>
    </w:r>
    <w:r w:rsidRPr="00386C1C">
      <w:rPr>
        <w:rStyle w:val="PageNumber"/>
        <w:rFonts w:asciiTheme="minorHAnsi" w:hAnsiTheme="minorHAnsi"/>
        <w:sz w:val="20"/>
        <w:szCs w:val="20"/>
      </w:rPr>
      <w:fldChar w:fldCharType="begin"/>
    </w:r>
    <w:r w:rsidRPr="00386C1C">
      <w:rPr>
        <w:rStyle w:val="PageNumber"/>
        <w:rFonts w:asciiTheme="minorHAnsi" w:hAnsiTheme="minorHAnsi"/>
        <w:sz w:val="20"/>
        <w:szCs w:val="20"/>
      </w:rPr>
      <w:instrText xml:space="preserve"> NUMPAGES </w:instrText>
    </w:r>
    <w:r w:rsidRPr="00386C1C">
      <w:rPr>
        <w:rStyle w:val="PageNumber"/>
        <w:rFonts w:asciiTheme="minorHAnsi" w:hAnsiTheme="minorHAnsi"/>
        <w:sz w:val="20"/>
        <w:szCs w:val="20"/>
      </w:rPr>
      <w:fldChar w:fldCharType="separate"/>
    </w:r>
    <w:r>
      <w:rPr>
        <w:rStyle w:val="PageNumber"/>
        <w:rFonts w:asciiTheme="minorHAnsi" w:hAnsiTheme="minorHAnsi"/>
        <w:noProof/>
        <w:sz w:val="20"/>
        <w:szCs w:val="20"/>
      </w:rPr>
      <w:t>8</w:t>
    </w:r>
    <w:r w:rsidRPr="00386C1C">
      <w:rPr>
        <w:rStyle w:val="PageNumber"/>
        <w:rFonts w:asciiTheme="minorHAnsi" w:hAnsiTheme="minorHAns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EBEE8E" w14:textId="77777777" w:rsidR="00C50BD5" w:rsidRDefault="00C50BD5" w:rsidP="003D4C15">
      <w:r>
        <w:separator/>
      </w:r>
    </w:p>
  </w:footnote>
  <w:footnote w:type="continuationSeparator" w:id="0">
    <w:p w14:paraId="56043D4C" w14:textId="77777777" w:rsidR="00C50BD5" w:rsidRDefault="00C50BD5" w:rsidP="003D4C15">
      <w:r>
        <w:continuationSeparator/>
      </w:r>
    </w:p>
  </w:footnote>
  <w:footnote w:id="1">
    <w:p w14:paraId="0EFFC743" w14:textId="08CCB615" w:rsidR="00010AE4" w:rsidRPr="00317747" w:rsidRDefault="00010AE4" w:rsidP="00010AE4">
      <w:pPr>
        <w:pStyle w:val="FootnoteText"/>
        <w:jc w:val="both"/>
        <w:rPr>
          <w:rFonts w:asciiTheme="minorHAnsi" w:hAnsiTheme="minorHAnsi" w:cstheme="minorHAnsi"/>
        </w:rPr>
      </w:pPr>
      <w:r w:rsidRPr="00317747">
        <w:rPr>
          <w:rStyle w:val="FootnoteReference"/>
          <w:rFonts w:asciiTheme="minorHAnsi" w:hAnsiTheme="minorHAnsi" w:cstheme="minorHAnsi"/>
        </w:rPr>
        <w:footnoteRef/>
      </w:r>
      <w:r w:rsidRPr="00317747">
        <w:rPr>
          <w:rFonts w:asciiTheme="minorHAnsi" w:hAnsiTheme="minorHAnsi" w:cstheme="minorHAnsi"/>
        </w:rPr>
        <w:t xml:space="preserve"> Išduoti ar pakeisti leidimą gyventi užsieniečiui atsisakoma, jeigu duomenys, kuriuos jis pateikė norėdamas gauti leidimą gyventi, neatitinka tikrovės &lt;...&gt;</w:t>
      </w:r>
      <w:r w:rsidR="00B531A5" w:rsidRPr="00317747">
        <w:rPr>
          <w:rFonts w:asciiTheme="minorHAnsi" w:hAnsiTheme="minorHAnsi" w:cstheme="minorHAnsi"/>
        </w:rPr>
        <w:t>.</w:t>
      </w:r>
    </w:p>
  </w:footnote>
  <w:footnote w:id="2">
    <w:p w14:paraId="058C1A34" w14:textId="064AA9F4" w:rsidR="00010AE4" w:rsidRPr="00317747" w:rsidRDefault="00010AE4" w:rsidP="00010AE4">
      <w:pPr>
        <w:pStyle w:val="FootnoteText"/>
        <w:jc w:val="both"/>
        <w:rPr>
          <w:rFonts w:asciiTheme="minorHAnsi" w:hAnsiTheme="minorHAnsi" w:cstheme="minorHAnsi"/>
        </w:rPr>
      </w:pPr>
      <w:r w:rsidRPr="00317747">
        <w:rPr>
          <w:rStyle w:val="FootnoteReference"/>
          <w:rFonts w:asciiTheme="minorHAnsi" w:hAnsiTheme="minorHAnsi" w:cstheme="minorHAnsi"/>
        </w:rPr>
        <w:footnoteRef/>
      </w:r>
      <w:r w:rsidRPr="00317747">
        <w:rPr>
          <w:rFonts w:asciiTheme="minorHAnsi" w:hAnsiTheme="minorHAnsi" w:cstheme="minorHAnsi"/>
        </w:rPr>
        <w:t xml:space="preserve"> Išduoti ar pakeisti leidimą gyventi užsieniečiui atsisakoma, jeigu jis neatitinka sąlygų, kurios nustatytos leidimui gyventi gauti konkrečiu šiame Įstatyme nustatytu pagrindu</w:t>
      </w:r>
      <w:r w:rsidR="00B531A5" w:rsidRPr="00317747">
        <w:rPr>
          <w:rFonts w:asciiTheme="minorHAnsi" w:hAnsiTheme="minorHAnsi" w:cstheme="minorHAnsi"/>
        </w:rPr>
        <w:t>.</w:t>
      </w:r>
    </w:p>
  </w:footnote>
  <w:footnote w:id="3">
    <w:p w14:paraId="6AD5ED97" w14:textId="1FC2913E" w:rsidR="00010AE4" w:rsidRPr="00317747" w:rsidRDefault="00010AE4" w:rsidP="00010AE4">
      <w:pPr>
        <w:pStyle w:val="FootnoteText"/>
        <w:jc w:val="both"/>
        <w:rPr>
          <w:rFonts w:asciiTheme="minorHAnsi" w:hAnsiTheme="minorHAnsi" w:cstheme="minorHAnsi"/>
        </w:rPr>
      </w:pPr>
      <w:r w:rsidRPr="00317747">
        <w:rPr>
          <w:rStyle w:val="FootnoteReference"/>
          <w:rFonts w:asciiTheme="minorHAnsi" w:hAnsiTheme="minorHAnsi" w:cstheme="minorHAnsi"/>
        </w:rPr>
        <w:footnoteRef/>
      </w:r>
      <w:r w:rsidRPr="00317747">
        <w:rPr>
          <w:rFonts w:asciiTheme="minorHAnsi" w:hAnsiTheme="minorHAnsi" w:cstheme="minorHAnsi"/>
        </w:rPr>
        <w:t xml:space="preserve"> Išduoti ar pakeisti leidimą gyventi užsieniečiui atsisakoma, jeigu [užsienietis] neturi pakankamai lėšų ir (ar) negauna reguliarių pajamų, kurių pakanka pragyventi Lietuvos Respublikoje &lt;...&gt;</w:t>
      </w:r>
      <w:r w:rsidR="00B531A5" w:rsidRPr="00317747">
        <w:rPr>
          <w:rFonts w:asciiTheme="minorHAnsi" w:hAnsiTheme="minorHAnsi" w:cstheme="minorHAnsi"/>
        </w:rPr>
        <w:t>.</w:t>
      </w:r>
    </w:p>
  </w:footnote>
  <w:footnote w:id="4">
    <w:p w14:paraId="74457AD5" w14:textId="34F7BD2C" w:rsidR="000B1563" w:rsidRPr="00317747" w:rsidRDefault="000B1563" w:rsidP="000B1563">
      <w:pPr>
        <w:pStyle w:val="FootnoteText"/>
        <w:jc w:val="both"/>
        <w:rPr>
          <w:rFonts w:asciiTheme="minorHAnsi" w:hAnsiTheme="minorHAnsi" w:cstheme="minorHAnsi"/>
        </w:rPr>
      </w:pPr>
      <w:r w:rsidRPr="00317747">
        <w:rPr>
          <w:rStyle w:val="FootnoteReference"/>
          <w:rFonts w:asciiTheme="minorHAnsi" w:hAnsiTheme="minorHAnsi" w:cstheme="minorHAnsi"/>
        </w:rPr>
        <w:footnoteRef/>
      </w:r>
      <w:r w:rsidRPr="00317747">
        <w:rPr>
          <w:rFonts w:asciiTheme="minorHAnsi" w:hAnsiTheme="minorHAnsi" w:cstheme="minorHAnsi"/>
        </w:rPr>
        <w:t xml:space="preserve"> 2013 m. birželio 26 d. Europos Parlamento ir Tarybos reglamentas (ES) Nr. 604/2013, kuriuo išdėstomi valstybės narės, atsakingos už trečiosios šalies piliečio arba asmens be pilietybės vienoje iš valstybių narių pateikto tarptautinės apsaugos prašymo nagrinėjimą, nustatymo kriterijai ir mechanizmai</w:t>
      </w:r>
      <w:r w:rsidR="00317747">
        <w:rPr>
          <w:rFonts w:asciiTheme="minorHAnsi" w:hAnsiTheme="minorHAnsi" w:cstheme="minorHAnsi"/>
        </w:rPr>
        <w:t>.</w:t>
      </w:r>
    </w:p>
  </w:footnote>
  <w:footnote w:id="5">
    <w:p w14:paraId="5429DBAA" w14:textId="113D1DF8" w:rsidR="001213B4" w:rsidRPr="00317747" w:rsidRDefault="001213B4" w:rsidP="002A721C">
      <w:pPr>
        <w:pStyle w:val="FootnoteText"/>
        <w:jc w:val="both"/>
        <w:rPr>
          <w:rFonts w:asciiTheme="minorHAnsi" w:hAnsiTheme="minorHAnsi" w:cstheme="minorHAnsi"/>
        </w:rPr>
      </w:pPr>
      <w:r w:rsidRPr="00317747">
        <w:rPr>
          <w:rStyle w:val="FootnoteReference"/>
          <w:rFonts w:asciiTheme="minorHAnsi" w:hAnsiTheme="minorHAnsi" w:cstheme="minorHAnsi"/>
        </w:rPr>
        <w:footnoteRef/>
      </w:r>
      <w:r w:rsidRPr="00317747">
        <w:rPr>
          <w:rFonts w:asciiTheme="minorHAnsi" w:hAnsiTheme="minorHAnsi" w:cstheme="minorHAnsi"/>
        </w:rPr>
        <w:t xml:space="preserve"> 2013 m. spalio 9 d. Europos Parlamento ir Tarybos reglamentas (ES) Nr. 952/2013, kuriuo nustatomas Sąjungos muitinės kodeksas.</w:t>
      </w:r>
    </w:p>
  </w:footnote>
  <w:footnote w:id="6">
    <w:p w14:paraId="64DCF5ED" w14:textId="1B4C1701" w:rsidR="001213B4" w:rsidRPr="00317747" w:rsidRDefault="001213B4" w:rsidP="002A721C">
      <w:pPr>
        <w:pStyle w:val="FootnoteText"/>
        <w:jc w:val="both"/>
        <w:rPr>
          <w:rFonts w:asciiTheme="minorHAnsi" w:hAnsiTheme="minorHAnsi" w:cstheme="minorHAnsi"/>
        </w:rPr>
      </w:pPr>
      <w:r w:rsidRPr="00317747">
        <w:rPr>
          <w:rStyle w:val="FootnoteReference"/>
          <w:rFonts w:asciiTheme="minorHAnsi" w:hAnsiTheme="minorHAnsi" w:cstheme="minorHAnsi"/>
        </w:rPr>
        <w:footnoteRef/>
      </w:r>
      <w:r w:rsidRPr="00317747">
        <w:rPr>
          <w:rFonts w:asciiTheme="minorHAnsi" w:hAnsiTheme="minorHAnsi" w:cstheme="minorHAnsi"/>
        </w:rPr>
        <w:t xml:space="preserve"> lenkų kalba – „decyzja“ oznacza każdy akt wydany przez organy celne odnoszący się do przepisów prawa celnego zawierający orzeczenie w konkretnej sprawie, który pociąga za sobą skutki prawne dla zainteresowanej osoby lub zainteresowanych osób; anglų kalba – „decision“ means any act by the customs authorities pertaining to the customs legislation giving a ruling on a particular case, and having legal effects on the person or persons concerned; prancūzų kalba – „décision“: tout acte concernant la législation douanière pris par une autorité douanière statuant sur un cas donné et qui a des effets de droit sur la ou les personnes concernées.</w:t>
      </w:r>
    </w:p>
  </w:footnote>
  <w:footnote w:id="7">
    <w:p w14:paraId="1B47D35F" w14:textId="77777777" w:rsidR="001213B4" w:rsidRPr="00317747" w:rsidRDefault="001213B4" w:rsidP="00BD06C7">
      <w:pPr>
        <w:pStyle w:val="FootnoteText"/>
        <w:jc w:val="both"/>
        <w:rPr>
          <w:rFonts w:asciiTheme="minorHAnsi" w:hAnsiTheme="minorHAnsi" w:cstheme="minorHAnsi"/>
        </w:rPr>
      </w:pPr>
      <w:r w:rsidRPr="00317747">
        <w:rPr>
          <w:rStyle w:val="FootnoteReference"/>
          <w:rFonts w:asciiTheme="minorHAnsi" w:hAnsiTheme="minorHAnsi" w:cstheme="minorHAnsi"/>
        </w:rPr>
        <w:footnoteRef/>
      </w:r>
      <w:r w:rsidRPr="00317747">
        <w:rPr>
          <w:rFonts w:asciiTheme="minorHAnsi" w:hAnsiTheme="minorHAnsi" w:cstheme="minorHAnsi"/>
        </w:rPr>
        <w:t xml:space="preserve"> Juridinių asmenų dalyvių informacinės sistemos nuostatai, patvirtinti Lietuvos Respublikos teisingumo ministro 2013 m. spalio 11 d. įsakymu Nr. 1R-231.</w:t>
      </w:r>
    </w:p>
  </w:footnote>
  <w:footnote w:id="8">
    <w:p w14:paraId="2D849A49" w14:textId="77777777" w:rsidR="001213B4" w:rsidRPr="00317747" w:rsidRDefault="001213B4" w:rsidP="00BD06C7">
      <w:pPr>
        <w:pStyle w:val="FootnoteText"/>
        <w:jc w:val="both"/>
        <w:rPr>
          <w:rFonts w:asciiTheme="minorHAnsi" w:hAnsiTheme="minorHAnsi" w:cstheme="minorHAnsi"/>
        </w:rPr>
      </w:pPr>
      <w:r w:rsidRPr="00317747">
        <w:rPr>
          <w:rStyle w:val="FootnoteReference"/>
          <w:rFonts w:asciiTheme="minorHAnsi" w:hAnsiTheme="minorHAnsi" w:cstheme="minorHAnsi"/>
        </w:rPr>
        <w:footnoteRef/>
      </w:r>
      <w:r w:rsidRPr="00317747">
        <w:rPr>
          <w:rFonts w:asciiTheme="minorHAnsi" w:hAnsiTheme="minorHAnsi" w:cstheme="minorHAnsi"/>
        </w:rPr>
        <w:t xml:space="preserve"> Juridinių asmenų registro nuostatai, patvirtinti Lietuvos Respublikos Vyriausybės 2003 m. lapkričio 12 d. nutarimu Nr. 1407.</w:t>
      </w:r>
    </w:p>
  </w:footnote>
  <w:footnote w:id="9">
    <w:p w14:paraId="531FB3E4" w14:textId="77777777" w:rsidR="001213B4" w:rsidRPr="00317747" w:rsidRDefault="001213B4" w:rsidP="00BD06C7">
      <w:pPr>
        <w:pStyle w:val="FootnoteText"/>
        <w:jc w:val="both"/>
        <w:rPr>
          <w:rFonts w:asciiTheme="minorHAnsi" w:hAnsiTheme="minorHAnsi" w:cstheme="minorHAnsi"/>
        </w:rPr>
      </w:pPr>
      <w:r w:rsidRPr="00317747">
        <w:rPr>
          <w:rStyle w:val="FootnoteReference"/>
          <w:rFonts w:asciiTheme="minorHAnsi" w:hAnsiTheme="minorHAnsi" w:cstheme="minorHAnsi"/>
        </w:rPr>
        <w:footnoteRef/>
      </w:r>
      <w:r w:rsidRPr="00317747">
        <w:rPr>
          <w:rFonts w:asciiTheme="minorHAnsi" w:hAnsiTheme="minorHAnsi" w:cstheme="minorHAnsi"/>
        </w:rPr>
        <w:t xml:space="preserve"> Juridinių asmenų dalyvių informacinės sistemos nuostatai, patvirtinti Lietuvos Respublikos teisingumo ministro 2013 m. spalio 11 d. įsakymu Nr. 1R-231.</w:t>
      </w:r>
    </w:p>
  </w:footnote>
  <w:footnote w:id="10">
    <w:p w14:paraId="593047E9" w14:textId="4AD57310" w:rsidR="001213B4" w:rsidRPr="00317747" w:rsidRDefault="001213B4" w:rsidP="00CF7368">
      <w:pPr>
        <w:pStyle w:val="FootnoteText"/>
        <w:jc w:val="both"/>
        <w:rPr>
          <w:rFonts w:asciiTheme="minorHAnsi" w:hAnsiTheme="minorHAnsi" w:cstheme="minorHAnsi"/>
        </w:rPr>
      </w:pPr>
      <w:r w:rsidRPr="00317747">
        <w:rPr>
          <w:rStyle w:val="FootnoteReference"/>
          <w:rFonts w:asciiTheme="minorHAnsi" w:hAnsiTheme="minorHAnsi" w:cstheme="minorHAnsi"/>
        </w:rPr>
        <w:footnoteRef/>
      </w:r>
      <w:r w:rsidRPr="00317747">
        <w:rPr>
          <w:rFonts w:asciiTheme="minorHAnsi" w:hAnsiTheme="minorHAnsi" w:cstheme="minorHAnsi"/>
        </w:rPr>
        <w:t xml:space="preserve"> 2015 m. gegužės 20 d. Europos Parlamento ir Tarybos direktyva (ES) 2015/849 dėl finansų sistemos naudojimo pinigų plovimui ir teroristų finansavimui prevencijos, kuria iš dalies keičiamas Europos Parlameno ir Tarybos reglamentas (ES) Nr. 648/2012 ir panaikinama Europos Parlamento ir Tarybos direktyva 2005/60/EB bei Komisijos direktyva 2006/70/EB, su paskutiniais pakeitimais, padarytais 2018 m. gegužės 30 d. Europos Parlamento ir Tarybos direktyva (ES) 2018/843.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1213B4" w:rsidRPr="000967FF" w14:paraId="7F6B4457" w14:textId="77777777" w:rsidTr="00125BDC">
      <w:tc>
        <w:tcPr>
          <w:tcW w:w="7230" w:type="dxa"/>
        </w:tcPr>
        <w:p w14:paraId="36804DBB" w14:textId="77777777" w:rsidR="001213B4" w:rsidRPr="0021377E" w:rsidRDefault="001213B4"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7332D03A" w14:textId="0CF34EE8" w:rsidR="001213B4" w:rsidRPr="0021377E" w:rsidRDefault="001213B4" w:rsidP="001157E6">
          <w:pPr>
            <w:jc w:val="right"/>
            <w:rPr>
              <w:rFonts w:ascii="Calibri" w:hAnsi="Calibri"/>
              <w:color w:val="323E4F" w:themeColor="text2" w:themeShade="BF"/>
              <w:sz w:val="20"/>
              <w:szCs w:val="20"/>
            </w:rPr>
          </w:pPr>
          <w:r>
            <w:rPr>
              <w:rFonts w:ascii="Calibri" w:hAnsi="Calibri"/>
              <w:color w:val="323E4F" w:themeColor="text2" w:themeShade="BF"/>
              <w:sz w:val="20"/>
              <w:szCs w:val="20"/>
            </w:rPr>
            <w:t xml:space="preserve">2024 11 </w:t>
          </w:r>
          <w:r w:rsidRPr="0021377E">
            <w:rPr>
              <w:rFonts w:ascii="Calibri" w:hAnsi="Calibri"/>
              <w:color w:val="323E4F" w:themeColor="text2" w:themeShade="BF"/>
              <w:sz w:val="20"/>
              <w:szCs w:val="20"/>
            </w:rPr>
            <w:t>01–20</w:t>
          </w:r>
          <w:r>
            <w:rPr>
              <w:rFonts w:ascii="Calibri" w:hAnsi="Calibri"/>
              <w:color w:val="323E4F" w:themeColor="text2" w:themeShade="BF"/>
              <w:sz w:val="20"/>
              <w:szCs w:val="20"/>
            </w:rPr>
            <w:t>24 11 30</w:t>
          </w:r>
        </w:p>
      </w:tc>
    </w:tr>
  </w:tbl>
  <w:p w14:paraId="5129C6CC" w14:textId="77777777" w:rsidR="001213B4" w:rsidRPr="008A0597" w:rsidRDefault="001213B4">
    <w:pPr>
      <w:pStyle w:val="Header"/>
      <w:rPr>
        <w:sz w:val="20"/>
        <w:szCs w:val="20"/>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4F1C96"/>
    <w:multiLevelType w:val="multilevel"/>
    <w:tmpl w:val="B830C30A"/>
    <w:lvl w:ilvl="0">
      <w:start w:val="1"/>
      <w:numFmt w:val="decimal"/>
      <w:pStyle w:val="Pagrindini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5C2305E2"/>
    <w:multiLevelType w:val="hybridMultilevel"/>
    <w:tmpl w:val="AE8A69AC"/>
    <w:styleLink w:val="ImportedStyle1"/>
    <w:lvl w:ilvl="0" w:tplc="72CA3B14">
      <w:start w:val="1"/>
      <w:numFmt w:val="decimal"/>
      <w:lvlText w:val="%1."/>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1" w:tplc="CFDCDE0A">
      <w:start w:val="1"/>
      <w:numFmt w:val="lowerLetter"/>
      <w:lvlText w:val="%2."/>
      <w:lvlJc w:val="left"/>
      <w:pPr>
        <w:tabs>
          <w:tab w:val="num" w:pos="1331"/>
        </w:tabs>
        <w:ind w:left="622" w:firstLine="87"/>
      </w:pPr>
      <w:rPr>
        <w:rFonts w:hAnsi="Arial Unicode MS"/>
        <w:caps w:val="0"/>
        <w:smallCaps w:val="0"/>
        <w:strike w:val="0"/>
        <w:dstrike w:val="0"/>
        <w:outline w:val="0"/>
        <w:emboss w:val="0"/>
        <w:imprint w:val="0"/>
        <w:spacing w:val="0"/>
        <w:w w:val="100"/>
        <w:kern w:val="0"/>
        <w:position w:val="0"/>
        <w:highlight w:val="none"/>
        <w:vertAlign w:val="baseline"/>
      </w:rPr>
    </w:lvl>
    <w:lvl w:ilvl="2" w:tplc="E68C4DE2">
      <w:start w:val="1"/>
      <w:numFmt w:val="lowerRoman"/>
      <w:suff w:val="nothing"/>
      <w:lvlText w:val="%3."/>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3" w:tplc="70025BA6">
      <w:start w:val="1"/>
      <w:numFmt w:val="decimal"/>
      <w:lvlText w:val="%4."/>
      <w:lvlJc w:val="left"/>
      <w:pPr>
        <w:tabs>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 w:ilvl="4" w:tplc="748EF882">
      <w:start w:val="1"/>
      <w:numFmt w:val="lowerLetter"/>
      <w:suff w:val="nothing"/>
      <w:lvlText w:val="%5."/>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5" w:tplc="30FC9D0C">
      <w:start w:val="1"/>
      <w:numFmt w:val="lowerRoman"/>
      <w:lvlText w:val="%6."/>
      <w:lvlJc w:val="left"/>
      <w:pPr>
        <w:tabs>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 w:ilvl="6" w:tplc="7AC6704C">
      <w:start w:val="1"/>
      <w:numFmt w:val="decimal"/>
      <w:lvlText w:val="%7."/>
      <w:lvlJc w:val="left"/>
      <w:pPr>
        <w:tabs>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 w:ilvl="7" w:tplc="8ED0693C">
      <w:start w:val="1"/>
      <w:numFmt w:val="lowerLetter"/>
      <w:lvlText w:val="%8."/>
      <w:lvlJc w:val="left"/>
      <w:pPr>
        <w:tabs>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 w:ilvl="8" w:tplc="A5F2E4A8">
      <w:start w:val="1"/>
      <w:numFmt w:val="lowerRoman"/>
      <w:lvlText w:val="%9."/>
      <w:lvlJc w:val="left"/>
      <w:pPr>
        <w:tabs>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70D73920"/>
    <w:multiLevelType w:val="multilevel"/>
    <w:tmpl w:val="10E6AD38"/>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num w:numId="1" w16cid:durableId="18437605">
    <w:abstractNumId w:val="2"/>
  </w:num>
  <w:num w:numId="2" w16cid:durableId="1330988834">
    <w:abstractNumId w:val="1"/>
  </w:num>
  <w:num w:numId="3" w16cid:durableId="1343388447">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C15"/>
    <w:rsid w:val="00000CF1"/>
    <w:rsid w:val="0000181D"/>
    <w:rsid w:val="00001B52"/>
    <w:rsid w:val="00001F07"/>
    <w:rsid w:val="00002966"/>
    <w:rsid w:val="00002A22"/>
    <w:rsid w:val="00002CB5"/>
    <w:rsid w:val="00002F90"/>
    <w:rsid w:val="00003009"/>
    <w:rsid w:val="00003D7F"/>
    <w:rsid w:val="000046DE"/>
    <w:rsid w:val="00004777"/>
    <w:rsid w:val="00005391"/>
    <w:rsid w:val="00005618"/>
    <w:rsid w:val="00005A31"/>
    <w:rsid w:val="00005A32"/>
    <w:rsid w:val="00005A36"/>
    <w:rsid w:val="000064C2"/>
    <w:rsid w:val="000067FD"/>
    <w:rsid w:val="00006E86"/>
    <w:rsid w:val="000075AF"/>
    <w:rsid w:val="00007A79"/>
    <w:rsid w:val="00007AE0"/>
    <w:rsid w:val="000102D2"/>
    <w:rsid w:val="00010516"/>
    <w:rsid w:val="0001086D"/>
    <w:rsid w:val="00010AE4"/>
    <w:rsid w:val="000112B1"/>
    <w:rsid w:val="000112F0"/>
    <w:rsid w:val="000113E1"/>
    <w:rsid w:val="00011BE2"/>
    <w:rsid w:val="00011C12"/>
    <w:rsid w:val="00011DAF"/>
    <w:rsid w:val="000130FA"/>
    <w:rsid w:val="0001338B"/>
    <w:rsid w:val="0001374D"/>
    <w:rsid w:val="00013D25"/>
    <w:rsid w:val="00014130"/>
    <w:rsid w:val="00014148"/>
    <w:rsid w:val="0001474E"/>
    <w:rsid w:val="00014865"/>
    <w:rsid w:val="0001491A"/>
    <w:rsid w:val="00014C00"/>
    <w:rsid w:val="00015268"/>
    <w:rsid w:val="0001541F"/>
    <w:rsid w:val="00015DA3"/>
    <w:rsid w:val="00016022"/>
    <w:rsid w:val="00016129"/>
    <w:rsid w:val="0001636D"/>
    <w:rsid w:val="00016443"/>
    <w:rsid w:val="00017230"/>
    <w:rsid w:val="0001725D"/>
    <w:rsid w:val="0001760A"/>
    <w:rsid w:val="0001772A"/>
    <w:rsid w:val="00017BCD"/>
    <w:rsid w:val="00017C67"/>
    <w:rsid w:val="00017F45"/>
    <w:rsid w:val="00020A68"/>
    <w:rsid w:val="00020B66"/>
    <w:rsid w:val="00020BE8"/>
    <w:rsid w:val="00021869"/>
    <w:rsid w:val="00021C5E"/>
    <w:rsid w:val="000232BE"/>
    <w:rsid w:val="000238BA"/>
    <w:rsid w:val="000239AB"/>
    <w:rsid w:val="00024FF5"/>
    <w:rsid w:val="00025504"/>
    <w:rsid w:val="0002557A"/>
    <w:rsid w:val="000256A0"/>
    <w:rsid w:val="00025B99"/>
    <w:rsid w:val="00025BA1"/>
    <w:rsid w:val="000262CF"/>
    <w:rsid w:val="00026349"/>
    <w:rsid w:val="00026E6D"/>
    <w:rsid w:val="00027B00"/>
    <w:rsid w:val="00027D76"/>
    <w:rsid w:val="00027DF8"/>
    <w:rsid w:val="00027E9E"/>
    <w:rsid w:val="000300BD"/>
    <w:rsid w:val="00030179"/>
    <w:rsid w:val="00030614"/>
    <w:rsid w:val="0003198A"/>
    <w:rsid w:val="00031F67"/>
    <w:rsid w:val="00032160"/>
    <w:rsid w:val="00032657"/>
    <w:rsid w:val="000326C5"/>
    <w:rsid w:val="00032C5C"/>
    <w:rsid w:val="00033126"/>
    <w:rsid w:val="00033C55"/>
    <w:rsid w:val="00034291"/>
    <w:rsid w:val="00034C6D"/>
    <w:rsid w:val="00034F46"/>
    <w:rsid w:val="000353C2"/>
    <w:rsid w:val="00035916"/>
    <w:rsid w:val="00035BB7"/>
    <w:rsid w:val="00035E28"/>
    <w:rsid w:val="000361AE"/>
    <w:rsid w:val="000362A4"/>
    <w:rsid w:val="000363AC"/>
    <w:rsid w:val="000368F0"/>
    <w:rsid w:val="00036B29"/>
    <w:rsid w:val="00037C27"/>
    <w:rsid w:val="00037D5F"/>
    <w:rsid w:val="00040EBD"/>
    <w:rsid w:val="0004105D"/>
    <w:rsid w:val="00041849"/>
    <w:rsid w:val="00043033"/>
    <w:rsid w:val="0004324F"/>
    <w:rsid w:val="000437A2"/>
    <w:rsid w:val="000439D5"/>
    <w:rsid w:val="00043C66"/>
    <w:rsid w:val="00043CD9"/>
    <w:rsid w:val="00043D7F"/>
    <w:rsid w:val="00043FA6"/>
    <w:rsid w:val="00044680"/>
    <w:rsid w:val="000446AC"/>
    <w:rsid w:val="00044F1B"/>
    <w:rsid w:val="00045020"/>
    <w:rsid w:val="00045822"/>
    <w:rsid w:val="000458C0"/>
    <w:rsid w:val="00045B27"/>
    <w:rsid w:val="00045B8E"/>
    <w:rsid w:val="00045C20"/>
    <w:rsid w:val="00046189"/>
    <w:rsid w:val="00046428"/>
    <w:rsid w:val="0004676B"/>
    <w:rsid w:val="00046B5B"/>
    <w:rsid w:val="00046E01"/>
    <w:rsid w:val="00047043"/>
    <w:rsid w:val="0004733D"/>
    <w:rsid w:val="00047F10"/>
    <w:rsid w:val="00050321"/>
    <w:rsid w:val="0005045D"/>
    <w:rsid w:val="00050657"/>
    <w:rsid w:val="00050891"/>
    <w:rsid w:val="00050B91"/>
    <w:rsid w:val="00050CE1"/>
    <w:rsid w:val="0005139C"/>
    <w:rsid w:val="000518C1"/>
    <w:rsid w:val="00051F4C"/>
    <w:rsid w:val="00051FCA"/>
    <w:rsid w:val="000521D4"/>
    <w:rsid w:val="00052441"/>
    <w:rsid w:val="00052995"/>
    <w:rsid w:val="00052AE5"/>
    <w:rsid w:val="00052C7F"/>
    <w:rsid w:val="00052D19"/>
    <w:rsid w:val="00052FC4"/>
    <w:rsid w:val="000532AC"/>
    <w:rsid w:val="00053362"/>
    <w:rsid w:val="000536F6"/>
    <w:rsid w:val="000541A7"/>
    <w:rsid w:val="00054560"/>
    <w:rsid w:val="000545FE"/>
    <w:rsid w:val="000546B9"/>
    <w:rsid w:val="000546D1"/>
    <w:rsid w:val="0005480A"/>
    <w:rsid w:val="00055759"/>
    <w:rsid w:val="00055AFB"/>
    <w:rsid w:val="00055F3F"/>
    <w:rsid w:val="0005601D"/>
    <w:rsid w:val="0005610D"/>
    <w:rsid w:val="000574B4"/>
    <w:rsid w:val="00057AAA"/>
    <w:rsid w:val="00057B3C"/>
    <w:rsid w:val="00057DF4"/>
    <w:rsid w:val="000607D4"/>
    <w:rsid w:val="000608A3"/>
    <w:rsid w:val="000611FF"/>
    <w:rsid w:val="0006157E"/>
    <w:rsid w:val="0006163D"/>
    <w:rsid w:val="0006177A"/>
    <w:rsid w:val="00061B35"/>
    <w:rsid w:val="00061D97"/>
    <w:rsid w:val="000624EE"/>
    <w:rsid w:val="00063470"/>
    <w:rsid w:val="000641D7"/>
    <w:rsid w:val="000641F6"/>
    <w:rsid w:val="00064654"/>
    <w:rsid w:val="00064CB1"/>
    <w:rsid w:val="000650DE"/>
    <w:rsid w:val="000660B9"/>
    <w:rsid w:val="000664DB"/>
    <w:rsid w:val="00066917"/>
    <w:rsid w:val="00066F18"/>
    <w:rsid w:val="0006729D"/>
    <w:rsid w:val="0006731B"/>
    <w:rsid w:val="0006745F"/>
    <w:rsid w:val="000674B2"/>
    <w:rsid w:val="0006759B"/>
    <w:rsid w:val="000679DD"/>
    <w:rsid w:val="00067F91"/>
    <w:rsid w:val="00067FB8"/>
    <w:rsid w:val="0007050C"/>
    <w:rsid w:val="00070614"/>
    <w:rsid w:val="00070655"/>
    <w:rsid w:val="00070B4D"/>
    <w:rsid w:val="00070F1E"/>
    <w:rsid w:val="00071022"/>
    <w:rsid w:val="0007142F"/>
    <w:rsid w:val="000714F2"/>
    <w:rsid w:val="00071C23"/>
    <w:rsid w:val="00071E33"/>
    <w:rsid w:val="00072C40"/>
    <w:rsid w:val="00072F6D"/>
    <w:rsid w:val="00073036"/>
    <w:rsid w:val="00073161"/>
    <w:rsid w:val="0007355B"/>
    <w:rsid w:val="000736C7"/>
    <w:rsid w:val="000738BB"/>
    <w:rsid w:val="00073A45"/>
    <w:rsid w:val="00073B21"/>
    <w:rsid w:val="00073B99"/>
    <w:rsid w:val="00073F44"/>
    <w:rsid w:val="000744E9"/>
    <w:rsid w:val="00074E76"/>
    <w:rsid w:val="000751CF"/>
    <w:rsid w:val="00075230"/>
    <w:rsid w:val="00075247"/>
    <w:rsid w:val="000752AE"/>
    <w:rsid w:val="0007560C"/>
    <w:rsid w:val="0007574E"/>
    <w:rsid w:val="00075877"/>
    <w:rsid w:val="00075B28"/>
    <w:rsid w:val="00075B43"/>
    <w:rsid w:val="000763FB"/>
    <w:rsid w:val="00076882"/>
    <w:rsid w:val="0007691E"/>
    <w:rsid w:val="00076920"/>
    <w:rsid w:val="00076972"/>
    <w:rsid w:val="00076B6D"/>
    <w:rsid w:val="00076BBD"/>
    <w:rsid w:val="00076D36"/>
    <w:rsid w:val="00077641"/>
    <w:rsid w:val="0007786B"/>
    <w:rsid w:val="000779F9"/>
    <w:rsid w:val="00077CAE"/>
    <w:rsid w:val="00080B12"/>
    <w:rsid w:val="00080C5A"/>
    <w:rsid w:val="00081450"/>
    <w:rsid w:val="00081734"/>
    <w:rsid w:val="00081819"/>
    <w:rsid w:val="00081851"/>
    <w:rsid w:val="00082131"/>
    <w:rsid w:val="00082913"/>
    <w:rsid w:val="00082A2D"/>
    <w:rsid w:val="0008302F"/>
    <w:rsid w:val="000838C6"/>
    <w:rsid w:val="00083E78"/>
    <w:rsid w:val="000840B3"/>
    <w:rsid w:val="00084172"/>
    <w:rsid w:val="00084279"/>
    <w:rsid w:val="000846CB"/>
    <w:rsid w:val="00084D69"/>
    <w:rsid w:val="00084D99"/>
    <w:rsid w:val="000853D2"/>
    <w:rsid w:val="000858B0"/>
    <w:rsid w:val="0008597D"/>
    <w:rsid w:val="00085E0F"/>
    <w:rsid w:val="00085FBE"/>
    <w:rsid w:val="0008644C"/>
    <w:rsid w:val="00086F37"/>
    <w:rsid w:val="00087DA3"/>
    <w:rsid w:val="00087F0A"/>
    <w:rsid w:val="0009023A"/>
    <w:rsid w:val="000903B8"/>
    <w:rsid w:val="000904B8"/>
    <w:rsid w:val="00090C7B"/>
    <w:rsid w:val="00091B33"/>
    <w:rsid w:val="00091CC7"/>
    <w:rsid w:val="00091EE2"/>
    <w:rsid w:val="00092011"/>
    <w:rsid w:val="00092976"/>
    <w:rsid w:val="00092CD0"/>
    <w:rsid w:val="00092E83"/>
    <w:rsid w:val="00094290"/>
    <w:rsid w:val="00094683"/>
    <w:rsid w:val="00094E8E"/>
    <w:rsid w:val="00095035"/>
    <w:rsid w:val="0009591E"/>
    <w:rsid w:val="00095E50"/>
    <w:rsid w:val="00095FE8"/>
    <w:rsid w:val="00096099"/>
    <w:rsid w:val="000962ED"/>
    <w:rsid w:val="00096A7B"/>
    <w:rsid w:val="000977FE"/>
    <w:rsid w:val="00097AC0"/>
    <w:rsid w:val="00097D04"/>
    <w:rsid w:val="000A0563"/>
    <w:rsid w:val="000A07C6"/>
    <w:rsid w:val="000A095D"/>
    <w:rsid w:val="000A1143"/>
    <w:rsid w:val="000A1463"/>
    <w:rsid w:val="000A2786"/>
    <w:rsid w:val="000A2ACD"/>
    <w:rsid w:val="000A39F4"/>
    <w:rsid w:val="000A3A7B"/>
    <w:rsid w:val="000A48C7"/>
    <w:rsid w:val="000A4AAE"/>
    <w:rsid w:val="000A533A"/>
    <w:rsid w:val="000A5DF8"/>
    <w:rsid w:val="000A64BF"/>
    <w:rsid w:val="000A6981"/>
    <w:rsid w:val="000A7295"/>
    <w:rsid w:val="000A75A3"/>
    <w:rsid w:val="000A77DB"/>
    <w:rsid w:val="000A7A94"/>
    <w:rsid w:val="000A7C1C"/>
    <w:rsid w:val="000A7F80"/>
    <w:rsid w:val="000B00CC"/>
    <w:rsid w:val="000B0289"/>
    <w:rsid w:val="000B035F"/>
    <w:rsid w:val="000B07AF"/>
    <w:rsid w:val="000B0AA3"/>
    <w:rsid w:val="000B0DB3"/>
    <w:rsid w:val="000B0F24"/>
    <w:rsid w:val="000B0F96"/>
    <w:rsid w:val="000B1563"/>
    <w:rsid w:val="000B15D3"/>
    <w:rsid w:val="000B189F"/>
    <w:rsid w:val="000B1AF3"/>
    <w:rsid w:val="000B1B87"/>
    <w:rsid w:val="000B200F"/>
    <w:rsid w:val="000B29D3"/>
    <w:rsid w:val="000B2B07"/>
    <w:rsid w:val="000B2D36"/>
    <w:rsid w:val="000B2EF7"/>
    <w:rsid w:val="000B3154"/>
    <w:rsid w:val="000B466D"/>
    <w:rsid w:val="000B47F1"/>
    <w:rsid w:val="000B4BA2"/>
    <w:rsid w:val="000B4BAF"/>
    <w:rsid w:val="000B4F48"/>
    <w:rsid w:val="000B53F8"/>
    <w:rsid w:val="000B5CA5"/>
    <w:rsid w:val="000B5DCC"/>
    <w:rsid w:val="000B5E9B"/>
    <w:rsid w:val="000B5F7A"/>
    <w:rsid w:val="000B6099"/>
    <w:rsid w:val="000B630C"/>
    <w:rsid w:val="000B64F9"/>
    <w:rsid w:val="000B6917"/>
    <w:rsid w:val="000B6970"/>
    <w:rsid w:val="000B6B58"/>
    <w:rsid w:val="000B7172"/>
    <w:rsid w:val="000B75DC"/>
    <w:rsid w:val="000B7B4F"/>
    <w:rsid w:val="000B7B87"/>
    <w:rsid w:val="000B7E29"/>
    <w:rsid w:val="000B7F87"/>
    <w:rsid w:val="000C04C8"/>
    <w:rsid w:val="000C05E3"/>
    <w:rsid w:val="000C083C"/>
    <w:rsid w:val="000C0EFB"/>
    <w:rsid w:val="000C0FC4"/>
    <w:rsid w:val="000C32A6"/>
    <w:rsid w:val="000C3304"/>
    <w:rsid w:val="000C3364"/>
    <w:rsid w:val="000C338C"/>
    <w:rsid w:val="000C45A4"/>
    <w:rsid w:val="000C45FB"/>
    <w:rsid w:val="000C46F2"/>
    <w:rsid w:val="000C4FCE"/>
    <w:rsid w:val="000C5021"/>
    <w:rsid w:val="000C523F"/>
    <w:rsid w:val="000C53DF"/>
    <w:rsid w:val="000C5D18"/>
    <w:rsid w:val="000C6090"/>
    <w:rsid w:val="000C6222"/>
    <w:rsid w:val="000C6326"/>
    <w:rsid w:val="000C66E5"/>
    <w:rsid w:val="000C6BFD"/>
    <w:rsid w:val="000C7962"/>
    <w:rsid w:val="000C7D39"/>
    <w:rsid w:val="000C7D92"/>
    <w:rsid w:val="000C7EA9"/>
    <w:rsid w:val="000C7FBE"/>
    <w:rsid w:val="000D08A4"/>
    <w:rsid w:val="000D09A2"/>
    <w:rsid w:val="000D0AFB"/>
    <w:rsid w:val="000D0F76"/>
    <w:rsid w:val="000D1A74"/>
    <w:rsid w:val="000D1BD3"/>
    <w:rsid w:val="000D2227"/>
    <w:rsid w:val="000D24DC"/>
    <w:rsid w:val="000D25D3"/>
    <w:rsid w:val="000D26FC"/>
    <w:rsid w:val="000D282A"/>
    <w:rsid w:val="000D2AD8"/>
    <w:rsid w:val="000D2C1C"/>
    <w:rsid w:val="000D2F33"/>
    <w:rsid w:val="000D42DA"/>
    <w:rsid w:val="000D4571"/>
    <w:rsid w:val="000D48CC"/>
    <w:rsid w:val="000D4AA6"/>
    <w:rsid w:val="000D4DFF"/>
    <w:rsid w:val="000D5FF2"/>
    <w:rsid w:val="000D607E"/>
    <w:rsid w:val="000D613F"/>
    <w:rsid w:val="000D6259"/>
    <w:rsid w:val="000D641E"/>
    <w:rsid w:val="000D669F"/>
    <w:rsid w:val="000D672F"/>
    <w:rsid w:val="000D6B6F"/>
    <w:rsid w:val="000D6D2E"/>
    <w:rsid w:val="000D7545"/>
    <w:rsid w:val="000D75DC"/>
    <w:rsid w:val="000D7B2B"/>
    <w:rsid w:val="000D7E2A"/>
    <w:rsid w:val="000D7EEA"/>
    <w:rsid w:val="000E00E4"/>
    <w:rsid w:val="000E0390"/>
    <w:rsid w:val="000E05F1"/>
    <w:rsid w:val="000E06F6"/>
    <w:rsid w:val="000E0A69"/>
    <w:rsid w:val="000E0E17"/>
    <w:rsid w:val="000E1004"/>
    <w:rsid w:val="000E1021"/>
    <w:rsid w:val="000E124F"/>
    <w:rsid w:val="000E171C"/>
    <w:rsid w:val="000E1BD9"/>
    <w:rsid w:val="000E1DEF"/>
    <w:rsid w:val="000E1F23"/>
    <w:rsid w:val="000E1FB4"/>
    <w:rsid w:val="000E25B0"/>
    <w:rsid w:val="000E2A1F"/>
    <w:rsid w:val="000E2D3D"/>
    <w:rsid w:val="000E329F"/>
    <w:rsid w:val="000E32BF"/>
    <w:rsid w:val="000E33CD"/>
    <w:rsid w:val="000E3617"/>
    <w:rsid w:val="000E3BCE"/>
    <w:rsid w:val="000E3F0A"/>
    <w:rsid w:val="000E4080"/>
    <w:rsid w:val="000E43AC"/>
    <w:rsid w:val="000E4B13"/>
    <w:rsid w:val="000E4D96"/>
    <w:rsid w:val="000E50F7"/>
    <w:rsid w:val="000E52D8"/>
    <w:rsid w:val="000E5309"/>
    <w:rsid w:val="000E5B1F"/>
    <w:rsid w:val="000E5D34"/>
    <w:rsid w:val="000E6038"/>
    <w:rsid w:val="000E733A"/>
    <w:rsid w:val="000E7415"/>
    <w:rsid w:val="000E7A91"/>
    <w:rsid w:val="000E7ECE"/>
    <w:rsid w:val="000F0591"/>
    <w:rsid w:val="000F0900"/>
    <w:rsid w:val="000F0961"/>
    <w:rsid w:val="000F0AC2"/>
    <w:rsid w:val="000F0C34"/>
    <w:rsid w:val="000F0DB2"/>
    <w:rsid w:val="000F0EEC"/>
    <w:rsid w:val="000F10B9"/>
    <w:rsid w:val="000F12B8"/>
    <w:rsid w:val="000F1523"/>
    <w:rsid w:val="000F1736"/>
    <w:rsid w:val="000F1C77"/>
    <w:rsid w:val="000F1FA1"/>
    <w:rsid w:val="000F222F"/>
    <w:rsid w:val="000F2317"/>
    <w:rsid w:val="000F26BC"/>
    <w:rsid w:val="000F2745"/>
    <w:rsid w:val="000F27F0"/>
    <w:rsid w:val="000F2CE7"/>
    <w:rsid w:val="000F2CEC"/>
    <w:rsid w:val="000F32EB"/>
    <w:rsid w:val="000F3938"/>
    <w:rsid w:val="000F3F88"/>
    <w:rsid w:val="000F4990"/>
    <w:rsid w:val="000F51E8"/>
    <w:rsid w:val="000F5D10"/>
    <w:rsid w:val="000F6854"/>
    <w:rsid w:val="000F6C25"/>
    <w:rsid w:val="000F6C98"/>
    <w:rsid w:val="000F6E87"/>
    <w:rsid w:val="000F7500"/>
    <w:rsid w:val="000F7ECB"/>
    <w:rsid w:val="000F7F53"/>
    <w:rsid w:val="001002EB"/>
    <w:rsid w:val="00100755"/>
    <w:rsid w:val="001014A9"/>
    <w:rsid w:val="00101821"/>
    <w:rsid w:val="001018C5"/>
    <w:rsid w:val="00101B47"/>
    <w:rsid w:val="00101BEA"/>
    <w:rsid w:val="00101C1A"/>
    <w:rsid w:val="00101C75"/>
    <w:rsid w:val="001025CD"/>
    <w:rsid w:val="0010266D"/>
    <w:rsid w:val="001028C7"/>
    <w:rsid w:val="001028D3"/>
    <w:rsid w:val="001029EC"/>
    <w:rsid w:val="001029F4"/>
    <w:rsid w:val="00102FB6"/>
    <w:rsid w:val="001031D7"/>
    <w:rsid w:val="001035B6"/>
    <w:rsid w:val="001044C5"/>
    <w:rsid w:val="001060AB"/>
    <w:rsid w:val="001063A0"/>
    <w:rsid w:val="00106A7D"/>
    <w:rsid w:val="00106D83"/>
    <w:rsid w:val="0010733D"/>
    <w:rsid w:val="00107B96"/>
    <w:rsid w:val="00107C3F"/>
    <w:rsid w:val="00110509"/>
    <w:rsid w:val="00110772"/>
    <w:rsid w:val="00110B80"/>
    <w:rsid w:val="0011130F"/>
    <w:rsid w:val="00111713"/>
    <w:rsid w:val="0011182C"/>
    <w:rsid w:val="001119E6"/>
    <w:rsid w:val="00111EA7"/>
    <w:rsid w:val="00112122"/>
    <w:rsid w:val="001122B8"/>
    <w:rsid w:val="0011266F"/>
    <w:rsid w:val="00112960"/>
    <w:rsid w:val="00112D29"/>
    <w:rsid w:val="001132D8"/>
    <w:rsid w:val="00113435"/>
    <w:rsid w:val="001135A4"/>
    <w:rsid w:val="001137FD"/>
    <w:rsid w:val="00113802"/>
    <w:rsid w:val="00113E12"/>
    <w:rsid w:val="00114A19"/>
    <w:rsid w:val="00114CBE"/>
    <w:rsid w:val="001156F8"/>
    <w:rsid w:val="001157E6"/>
    <w:rsid w:val="0011594A"/>
    <w:rsid w:val="00115A7B"/>
    <w:rsid w:val="0011613B"/>
    <w:rsid w:val="0011627C"/>
    <w:rsid w:val="0011655D"/>
    <w:rsid w:val="0011695D"/>
    <w:rsid w:val="00116A6F"/>
    <w:rsid w:val="00117529"/>
    <w:rsid w:val="00117BD5"/>
    <w:rsid w:val="00117D56"/>
    <w:rsid w:val="0011DA06"/>
    <w:rsid w:val="001200FC"/>
    <w:rsid w:val="001206C8"/>
    <w:rsid w:val="001206FB"/>
    <w:rsid w:val="00121181"/>
    <w:rsid w:val="001213B4"/>
    <w:rsid w:val="0012141D"/>
    <w:rsid w:val="0012143E"/>
    <w:rsid w:val="001221FE"/>
    <w:rsid w:val="0012227D"/>
    <w:rsid w:val="001224BE"/>
    <w:rsid w:val="00122887"/>
    <w:rsid w:val="00122A1C"/>
    <w:rsid w:val="0012368B"/>
    <w:rsid w:val="00123774"/>
    <w:rsid w:val="001242A9"/>
    <w:rsid w:val="0012444E"/>
    <w:rsid w:val="0012446E"/>
    <w:rsid w:val="001247E7"/>
    <w:rsid w:val="00125287"/>
    <w:rsid w:val="001252D0"/>
    <w:rsid w:val="00125A02"/>
    <w:rsid w:val="00125BDC"/>
    <w:rsid w:val="00125FC8"/>
    <w:rsid w:val="00126AFD"/>
    <w:rsid w:val="00126DDF"/>
    <w:rsid w:val="00127240"/>
    <w:rsid w:val="001276F1"/>
    <w:rsid w:val="00127767"/>
    <w:rsid w:val="00127D7A"/>
    <w:rsid w:val="001302A3"/>
    <w:rsid w:val="001304C9"/>
    <w:rsid w:val="001305A8"/>
    <w:rsid w:val="00131194"/>
    <w:rsid w:val="00131290"/>
    <w:rsid w:val="001315C0"/>
    <w:rsid w:val="00132328"/>
    <w:rsid w:val="001324EF"/>
    <w:rsid w:val="00132904"/>
    <w:rsid w:val="00132B36"/>
    <w:rsid w:val="00132ED5"/>
    <w:rsid w:val="0013389B"/>
    <w:rsid w:val="00134825"/>
    <w:rsid w:val="00134881"/>
    <w:rsid w:val="00134F11"/>
    <w:rsid w:val="00135115"/>
    <w:rsid w:val="0013541C"/>
    <w:rsid w:val="001364B3"/>
    <w:rsid w:val="00137089"/>
    <w:rsid w:val="001371D9"/>
    <w:rsid w:val="00137794"/>
    <w:rsid w:val="00137A24"/>
    <w:rsid w:val="00137A55"/>
    <w:rsid w:val="00137D41"/>
    <w:rsid w:val="00137E2B"/>
    <w:rsid w:val="00137EA9"/>
    <w:rsid w:val="00137FBD"/>
    <w:rsid w:val="00140059"/>
    <w:rsid w:val="0014011D"/>
    <w:rsid w:val="0014071C"/>
    <w:rsid w:val="001408C8"/>
    <w:rsid w:val="00140D6D"/>
    <w:rsid w:val="00141524"/>
    <w:rsid w:val="00141536"/>
    <w:rsid w:val="00141DE3"/>
    <w:rsid w:val="00141E16"/>
    <w:rsid w:val="00141ED3"/>
    <w:rsid w:val="001420CC"/>
    <w:rsid w:val="00142479"/>
    <w:rsid w:val="00142B27"/>
    <w:rsid w:val="00143256"/>
    <w:rsid w:val="0014360F"/>
    <w:rsid w:val="00143A9B"/>
    <w:rsid w:val="00144240"/>
    <w:rsid w:val="00144803"/>
    <w:rsid w:val="001448A8"/>
    <w:rsid w:val="00144C08"/>
    <w:rsid w:val="00144CAC"/>
    <w:rsid w:val="00144EAC"/>
    <w:rsid w:val="001450EC"/>
    <w:rsid w:val="001454BB"/>
    <w:rsid w:val="001454BF"/>
    <w:rsid w:val="00145540"/>
    <w:rsid w:val="00145AF2"/>
    <w:rsid w:val="00145B0E"/>
    <w:rsid w:val="00145B68"/>
    <w:rsid w:val="00145BCF"/>
    <w:rsid w:val="00145DB6"/>
    <w:rsid w:val="00146244"/>
    <w:rsid w:val="00146F5E"/>
    <w:rsid w:val="00147A06"/>
    <w:rsid w:val="00147DF2"/>
    <w:rsid w:val="001502B3"/>
    <w:rsid w:val="0015086B"/>
    <w:rsid w:val="00150B38"/>
    <w:rsid w:val="00151D5D"/>
    <w:rsid w:val="001521A0"/>
    <w:rsid w:val="0015234F"/>
    <w:rsid w:val="00152840"/>
    <w:rsid w:val="00152D73"/>
    <w:rsid w:val="00152F38"/>
    <w:rsid w:val="00152FD9"/>
    <w:rsid w:val="00153283"/>
    <w:rsid w:val="00153593"/>
    <w:rsid w:val="0015377A"/>
    <w:rsid w:val="00154014"/>
    <w:rsid w:val="001544D2"/>
    <w:rsid w:val="001547FD"/>
    <w:rsid w:val="00154A67"/>
    <w:rsid w:val="00154CBC"/>
    <w:rsid w:val="001556AC"/>
    <w:rsid w:val="00155B90"/>
    <w:rsid w:val="00155EAA"/>
    <w:rsid w:val="001566B7"/>
    <w:rsid w:val="00156AFE"/>
    <w:rsid w:val="00157368"/>
    <w:rsid w:val="00157E05"/>
    <w:rsid w:val="00160700"/>
    <w:rsid w:val="00161604"/>
    <w:rsid w:val="00161759"/>
    <w:rsid w:val="00161F73"/>
    <w:rsid w:val="00162692"/>
    <w:rsid w:val="00162DD2"/>
    <w:rsid w:val="00162DE5"/>
    <w:rsid w:val="00163F5B"/>
    <w:rsid w:val="00163FA0"/>
    <w:rsid w:val="00165571"/>
    <w:rsid w:val="00165829"/>
    <w:rsid w:val="0016628D"/>
    <w:rsid w:val="00166357"/>
    <w:rsid w:val="00166E4F"/>
    <w:rsid w:val="00166EB9"/>
    <w:rsid w:val="00167007"/>
    <w:rsid w:val="001671AE"/>
    <w:rsid w:val="0016762E"/>
    <w:rsid w:val="00167E83"/>
    <w:rsid w:val="0017058A"/>
    <w:rsid w:val="001707A2"/>
    <w:rsid w:val="00170ABD"/>
    <w:rsid w:val="00170CDB"/>
    <w:rsid w:val="00170D65"/>
    <w:rsid w:val="00171009"/>
    <w:rsid w:val="00171042"/>
    <w:rsid w:val="00171453"/>
    <w:rsid w:val="001719D0"/>
    <w:rsid w:val="00172181"/>
    <w:rsid w:val="00172A8F"/>
    <w:rsid w:val="00172D2B"/>
    <w:rsid w:val="00172DF9"/>
    <w:rsid w:val="00173496"/>
    <w:rsid w:val="001734EC"/>
    <w:rsid w:val="00173611"/>
    <w:rsid w:val="001738F3"/>
    <w:rsid w:val="00174476"/>
    <w:rsid w:val="00174761"/>
    <w:rsid w:val="0017480C"/>
    <w:rsid w:val="001752B0"/>
    <w:rsid w:val="0017534D"/>
    <w:rsid w:val="00175490"/>
    <w:rsid w:val="001756EA"/>
    <w:rsid w:val="00175BDA"/>
    <w:rsid w:val="00176433"/>
    <w:rsid w:val="00177740"/>
    <w:rsid w:val="00177CBE"/>
    <w:rsid w:val="00177FED"/>
    <w:rsid w:val="0018007F"/>
    <w:rsid w:val="00180278"/>
    <w:rsid w:val="00180348"/>
    <w:rsid w:val="0018071E"/>
    <w:rsid w:val="00180865"/>
    <w:rsid w:val="00181674"/>
    <w:rsid w:val="00181CED"/>
    <w:rsid w:val="00181DB4"/>
    <w:rsid w:val="00181E4B"/>
    <w:rsid w:val="00182145"/>
    <w:rsid w:val="00182789"/>
    <w:rsid w:val="001828DD"/>
    <w:rsid w:val="00182986"/>
    <w:rsid w:val="00182EC7"/>
    <w:rsid w:val="001839DE"/>
    <w:rsid w:val="0018428A"/>
    <w:rsid w:val="0018451A"/>
    <w:rsid w:val="0018481C"/>
    <w:rsid w:val="00184EE7"/>
    <w:rsid w:val="001853A2"/>
    <w:rsid w:val="001853F7"/>
    <w:rsid w:val="001857DA"/>
    <w:rsid w:val="001857E1"/>
    <w:rsid w:val="00185D79"/>
    <w:rsid w:val="001867B8"/>
    <w:rsid w:val="0018693C"/>
    <w:rsid w:val="0018716C"/>
    <w:rsid w:val="001876A9"/>
    <w:rsid w:val="00187B29"/>
    <w:rsid w:val="00187E5E"/>
    <w:rsid w:val="00190358"/>
    <w:rsid w:val="001905B8"/>
    <w:rsid w:val="00190668"/>
    <w:rsid w:val="00190D8E"/>
    <w:rsid w:val="0019118E"/>
    <w:rsid w:val="00191649"/>
    <w:rsid w:val="00191ADC"/>
    <w:rsid w:val="001921AE"/>
    <w:rsid w:val="00192542"/>
    <w:rsid w:val="001927BE"/>
    <w:rsid w:val="00193329"/>
    <w:rsid w:val="00193451"/>
    <w:rsid w:val="00193907"/>
    <w:rsid w:val="001942E9"/>
    <w:rsid w:val="001946F1"/>
    <w:rsid w:val="001947F5"/>
    <w:rsid w:val="00195140"/>
    <w:rsid w:val="00195E5C"/>
    <w:rsid w:val="00196078"/>
    <w:rsid w:val="00196372"/>
    <w:rsid w:val="001964BA"/>
    <w:rsid w:val="00196BE4"/>
    <w:rsid w:val="001979F8"/>
    <w:rsid w:val="001A0189"/>
    <w:rsid w:val="001A01BD"/>
    <w:rsid w:val="001A02EA"/>
    <w:rsid w:val="001A036A"/>
    <w:rsid w:val="001A0565"/>
    <w:rsid w:val="001A0A78"/>
    <w:rsid w:val="001A0B5D"/>
    <w:rsid w:val="001A0CA7"/>
    <w:rsid w:val="001A0E8E"/>
    <w:rsid w:val="001A1122"/>
    <w:rsid w:val="001A12C4"/>
    <w:rsid w:val="001A13F9"/>
    <w:rsid w:val="001A14C1"/>
    <w:rsid w:val="001A169E"/>
    <w:rsid w:val="001A18EC"/>
    <w:rsid w:val="001A1FA5"/>
    <w:rsid w:val="001A2031"/>
    <w:rsid w:val="001A2401"/>
    <w:rsid w:val="001A2AFB"/>
    <w:rsid w:val="001A327C"/>
    <w:rsid w:val="001A3472"/>
    <w:rsid w:val="001A3990"/>
    <w:rsid w:val="001A3CA6"/>
    <w:rsid w:val="001A45CF"/>
    <w:rsid w:val="001A4A43"/>
    <w:rsid w:val="001A4AFC"/>
    <w:rsid w:val="001A5310"/>
    <w:rsid w:val="001A59DF"/>
    <w:rsid w:val="001A6208"/>
    <w:rsid w:val="001A6277"/>
    <w:rsid w:val="001A68BC"/>
    <w:rsid w:val="001A6C29"/>
    <w:rsid w:val="001A7289"/>
    <w:rsid w:val="001A72D2"/>
    <w:rsid w:val="001B016E"/>
    <w:rsid w:val="001B04D7"/>
    <w:rsid w:val="001B09D5"/>
    <w:rsid w:val="001B119C"/>
    <w:rsid w:val="001B16D2"/>
    <w:rsid w:val="001B1824"/>
    <w:rsid w:val="001B1869"/>
    <w:rsid w:val="001B1CF4"/>
    <w:rsid w:val="001B1FDB"/>
    <w:rsid w:val="001B22F3"/>
    <w:rsid w:val="001B23D1"/>
    <w:rsid w:val="001B27E9"/>
    <w:rsid w:val="001B2AAB"/>
    <w:rsid w:val="001B2CA1"/>
    <w:rsid w:val="001B2F3C"/>
    <w:rsid w:val="001B3153"/>
    <w:rsid w:val="001B35A1"/>
    <w:rsid w:val="001B35E6"/>
    <w:rsid w:val="001B3AE0"/>
    <w:rsid w:val="001B3AEF"/>
    <w:rsid w:val="001B3DC8"/>
    <w:rsid w:val="001B4548"/>
    <w:rsid w:val="001B4672"/>
    <w:rsid w:val="001B4734"/>
    <w:rsid w:val="001B4CEB"/>
    <w:rsid w:val="001B4DCD"/>
    <w:rsid w:val="001B5075"/>
    <w:rsid w:val="001B5307"/>
    <w:rsid w:val="001B53C1"/>
    <w:rsid w:val="001B5CE0"/>
    <w:rsid w:val="001B5F42"/>
    <w:rsid w:val="001B5FBA"/>
    <w:rsid w:val="001B675B"/>
    <w:rsid w:val="001B690E"/>
    <w:rsid w:val="001B6E68"/>
    <w:rsid w:val="001B6E9F"/>
    <w:rsid w:val="001B7187"/>
    <w:rsid w:val="001B7319"/>
    <w:rsid w:val="001B7697"/>
    <w:rsid w:val="001B7B88"/>
    <w:rsid w:val="001C0177"/>
    <w:rsid w:val="001C0AF1"/>
    <w:rsid w:val="001C120B"/>
    <w:rsid w:val="001C1445"/>
    <w:rsid w:val="001C17A2"/>
    <w:rsid w:val="001C1D5B"/>
    <w:rsid w:val="001C1E42"/>
    <w:rsid w:val="001C25E9"/>
    <w:rsid w:val="001C27AA"/>
    <w:rsid w:val="001C28DD"/>
    <w:rsid w:val="001C296B"/>
    <w:rsid w:val="001C2CF1"/>
    <w:rsid w:val="001C36A5"/>
    <w:rsid w:val="001C386F"/>
    <w:rsid w:val="001C3944"/>
    <w:rsid w:val="001C3F98"/>
    <w:rsid w:val="001C40C6"/>
    <w:rsid w:val="001C40E4"/>
    <w:rsid w:val="001C41A3"/>
    <w:rsid w:val="001C482B"/>
    <w:rsid w:val="001C5364"/>
    <w:rsid w:val="001C55DF"/>
    <w:rsid w:val="001C597B"/>
    <w:rsid w:val="001C5A1C"/>
    <w:rsid w:val="001C5B3C"/>
    <w:rsid w:val="001C5B7F"/>
    <w:rsid w:val="001C656F"/>
    <w:rsid w:val="001C65C6"/>
    <w:rsid w:val="001C6731"/>
    <w:rsid w:val="001C6C69"/>
    <w:rsid w:val="001C6DCE"/>
    <w:rsid w:val="001C71DE"/>
    <w:rsid w:val="001C7EF0"/>
    <w:rsid w:val="001D0441"/>
    <w:rsid w:val="001D04E1"/>
    <w:rsid w:val="001D1087"/>
    <w:rsid w:val="001D12CB"/>
    <w:rsid w:val="001D134A"/>
    <w:rsid w:val="001D1687"/>
    <w:rsid w:val="001D1734"/>
    <w:rsid w:val="001D1784"/>
    <w:rsid w:val="001D19F6"/>
    <w:rsid w:val="001D1B05"/>
    <w:rsid w:val="001D1D4D"/>
    <w:rsid w:val="001D2019"/>
    <w:rsid w:val="001D21BD"/>
    <w:rsid w:val="001D2269"/>
    <w:rsid w:val="001D2291"/>
    <w:rsid w:val="001D2365"/>
    <w:rsid w:val="001D286F"/>
    <w:rsid w:val="001D2D45"/>
    <w:rsid w:val="001D30B4"/>
    <w:rsid w:val="001D32CA"/>
    <w:rsid w:val="001D3FB2"/>
    <w:rsid w:val="001D4040"/>
    <w:rsid w:val="001D40A4"/>
    <w:rsid w:val="001D432C"/>
    <w:rsid w:val="001D44F1"/>
    <w:rsid w:val="001D540C"/>
    <w:rsid w:val="001D6103"/>
    <w:rsid w:val="001D6202"/>
    <w:rsid w:val="001D636C"/>
    <w:rsid w:val="001D6386"/>
    <w:rsid w:val="001D64D2"/>
    <w:rsid w:val="001D7408"/>
    <w:rsid w:val="001D7992"/>
    <w:rsid w:val="001E0069"/>
    <w:rsid w:val="001E01FF"/>
    <w:rsid w:val="001E0A9B"/>
    <w:rsid w:val="001E0CA3"/>
    <w:rsid w:val="001E11D8"/>
    <w:rsid w:val="001E13E4"/>
    <w:rsid w:val="001E15E7"/>
    <w:rsid w:val="001E19F6"/>
    <w:rsid w:val="001E223E"/>
    <w:rsid w:val="001E2613"/>
    <w:rsid w:val="001E27E5"/>
    <w:rsid w:val="001E2A1F"/>
    <w:rsid w:val="001E2A2D"/>
    <w:rsid w:val="001E2A3E"/>
    <w:rsid w:val="001E310A"/>
    <w:rsid w:val="001E3F5A"/>
    <w:rsid w:val="001E4460"/>
    <w:rsid w:val="001E44D3"/>
    <w:rsid w:val="001E45B4"/>
    <w:rsid w:val="001E4D6E"/>
    <w:rsid w:val="001E549C"/>
    <w:rsid w:val="001E57E3"/>
    <w:rsid w:val="001E588F"/>
    <w:rsid w:val="001E5AAE"/>
    <w:rsid w:val="001E6054"/>
    <w:rsid w:val="001E6108"/>
    <w:rsid w:val="001E64EE"/>
    <w:rsid w:val="001E6848"/>
    <w:rsid w:val="001E69FA"/>
    <w:rsid w:val="001E6B93"/>
    <w:rsid w:val="001F0834"/>
    <w:rsid w:val="001F0A80"/>
    <w:rsid w:val="001F122F"/>
    <w:rsid w:val="001F12D6"/>
    <w:rsid w:val="001F14F6"/>
    <w:rsid w:val="001F1B19"/>
    <w:rsid w:val="001F1EF0"/>
    <w:rsid w:val="001F1FA1"/>
    <w:rsid w:val="001F207C"/>
    <w:rsid w:val="001F233F"/>
    <w:rsid w:val="001F2A6C"/>
    <w:rsid w:val="001F2C3C"/>
    <w:rsid w:val="001F2E5F"/>
    <w:rsid w:val="001F3487"/>
    <w:rsid w:val="001F35CD"/>
    <w:rsid w:val="001F376B"/>
    <w:rsid w:val="001F3775"/>
    <w:rsid w:val="001F382F"/>
    <w:rsid w:val="001F38D9"/>
    <w:rsid w:val="001F3A46"/>
    <w:rsid w:val="001F4C1C"/>
    <w:rsid w:val="001F4C87"/>
    <w:rsid w:val="001F5959"/>
    <w:rsid w:val="001F5990"/>
    <w:rsid w:val="001F5B62"/>
    <w:rsid w:val="001F6068"/>
    <w:rsid w:val="001F6E51"/>
    <w:rsid w:val="001F6EA2"/>
    <w:rsid w:val="001F708A"/>
    <w:rsid w:val="001F7206"/>
    <w:rsid w:val="001F7509"/>
    <w:rsid w:val="001F770E"/>
    <w:rsid w:val="001F7D80"/>
    <w:rsid w:val="0020035C"/>
    <w:rsid w:val="002003FC"/>
    <w:rsid w:val="0020061B"/>
    <w:rsid w:val="002009FF"/>
    <w:rsid w:val="00201ADE"/>
    <w:rsid w:val="00201C51"/>
    <w:rsid w:val="002025A7"/>
    <w:rsid w:val="00202E42"/>
    <w:rsid w:val="00203062"/>
    <w:rsid w:val="00203176"/>
    <w:rsid w:val="0020373E"/>
    <w:rsid w:val="00203A1F"/>
    <w:rsid w:val="00203B59"/>
    <w:rsid w:val="0020434C"/>
    <w:rsid w:val="00204FDF"/>
    <w:rsid w:val="0020556B"/>
    <w:rsid w:val="00205621"/>
    <w:rsid w:val="00205FC2"/>
    <w:rsid w:val="002065B6"/>
    <w:rsid w:val="00206A2A"/>
    <w:rsid w:val="00207183"/>
    <w:rsid w:val="00207EE9"/>
    <w:rsid w:val="00210172"/>
    <w:rsid w:val="002114C4"/>
    <w:rsid w:val="00211A1D"/>
    <w:rsid w:val="0021226D"/>
    <w:rsid w:val="00212775"/>
    <w:rsid w:val="0021292D"/>
    <w:rsid w:val="00212E45"/>
    <w:rsid w:val="002134F3"/>
    <w:rsid w:val="002139E6"/>
    <w:rsid w:val="00213D20"/>
    <w:rsid w:val="002140D0"/>
    <w:rsid w:val="002141BF"/>
    <w:rsid w:val="00214621"/>
    <w:rsid w:val="0021479A"/>
    <w:rsid w:val="0021481A"/>
    <w:rsid w:val="00214B03"/>
    <w:rsid w:val="00214B65"/>
    <w:rsid w:val="00215358"/>
    <w:rsid w:val="00217251"/>
    <w:rsid w:val="00217AFE"/>
    <w:rsid w:val="00217BFD"/>
    <w:rsid w:val="00220323"/>
    <w:rsid w:val="002205E6"/>
    <w:rsid w:val="002205FE"/>
    <w:rsid w:val="00220926"/>
    <w:rsid w:val="0022124C"/>
    <w:rsid w:val="002212C4"/>
    <w:rsid w:val="0022178B"/>
    <w:rsid w:val="002217CE"/>
    <w:rsid w:val="002219EE"/>
    <w:rsid w:val="0022247A"/>
    <w:rsid w:val="002226E8"/>
    <w:rsid w:val="00222F3F"/>
    <w:rsid w:val="002231BF"/>
    <w:rsid w:val="0022338C"/>
    <w:rsid w:val="0022366F"/>
    <w:rsid w:val="00223858"/>
    <w:rsid w:val="00223EF4"/>
    <w:rsid w:val="00223FBB"/>
    <w:rsid w:val="00224D70"/>
    <w:rsid w:val="002253D7"/>
    <w:rsid w:val="00225711"/>
    <w:rsid w:val="002257F8"/>
    <w:rsid w:val="00225AF5"/>
    <w:rsid w:val="00225B22"/>
    <w:rsid w:val="00225FA1"/>
    <w:rsid w:val="00226E38"/>
    <w:rsid w:val="002274C0"/>
    <w:rsid w:val="0022758F"/>
    <w:rsid w:val="002276A5"/>
    <w:rsid w:val="0022777A"/>
    <w:rsid w:val="00227AAC"/>
    <w:rsid w:val="00227C5E"/>
    <w:rsid w:val="00230824"/>
    <w:rsid w:val="00231026"/>
    <w:rsid w:val="00231487"/>
    <w:rsid w:val="00231E57"/>
    <w:rsid w:val="00232024"/>
    <w:rsid w:val="0023257B"/>
    <w:rsid w:val="00232754"/>
    <w:rsid w:val="002328D5"/>
    <w:rsid w:val="002328FF"/>
    <w:rsid w:val="002329B7"/>
    <w:rsid w:val="002329FF"/>
    <w:rsid w:val="00232BAE"/>
    <w:rsid w:val="00232F4C"/>
    <w:rsid w:val="00233224"/>
    <w:rsid w:val="00233956"/>
    <w:rsid w:val="00233E98"/>
    <w:rsid w:val="00233FF0"/>
    <w:rsid w:val="00234560"/>
    <w:rsid w:val="00234DF2"/>
    <w:rsid w:val="002351C2"/>
    <w:rsid w:val="0023549A"/>
    <w:rsid w:val="00235502"/>
    <w:rsid w:val="00235C9E"/>
    <w:rsid w:val="002360DF"/>
    <w:rsid w:val="00236301"/>
    <w:rsid w:val="00236946"/>
    <w:rsid w:val="00236B93"/>
    <w:rsid w:val="00236D1C"/>
    <w:rsid w:val="00236EF5"/>
    <w:rsid w:val="00236FF9"/>
    <w:rsid w:val="0023741C"/>
    <w:rsid w:val="002375C1"/>
    <w:rsid w:val="00237731"/>
    <w:rsid w:val="0023780D"/>
    <w:rsid w:val="00237873"/>
    <w:rsid w:val="002378C2"/>
    <w:rsid w:val="00237FCA"/>
    <w:rsid w:val="00240307"/>
    <w:rsid w:val="00240690"/>
    <w:rsid w:val="0024110E"/>
    <w:rsid w:val="0024119E"/>
    <w:rsid w:val="00241329"/>
    <w:rsid w:val="002417A7"/>
    <w:rsid w:val="002425B8"/>
    <w:rsid w:val="00242649"/>
    <w:rsid w:val="002427B8"/>
    <w:rsid w:val="00242839"/>
    <w:rsid w:val="00242DA7"/>
    <w:rsid w:val="002433B6"/>
    <w:rsid w:val="00243C8E"/>
    <w:rsid w:val="00243EBD"/>
    <w:rsid w:val="00244840"/>
    <w:rsid w:val="002450A6"/>
    <w:rsid w:val="002451F7"/>
    <w:rsid w:val="00245F2C"/>
    <w:rsid w:val="00245FFC"/>
    <w:rsid w:val="0024604C"/>
    <w:rsid w:val="0024642C"/>
    <w:rsid w:val="00246AAC"/>
    <w:rsid w:val="00246E35"/>
    <w:rsid w:val="0024776B"/>
    <w:rsid w:val="00247C38"/>
    <w:rsid w:val="00247CF6"/>
    <w:rsid w:val="002501A6"/>
    <w:rsid w:val="002505CB"/>
    <w:rsid w:val="002507A6"/>
    <w:rsid w:val="0025160A"/>
    <w:rsid w:val="00251688"/>
    <w:rsid w:val="00251841"/>
    <w:rsid w:val="00251873"/>
    <w:rsid w:val="00251889"/>
    <w:rsid w:val="002522BC"/>
    <w:rsid w:val="00252459"/>
    <w:rsid w:val="00252880"/>
    <w:rsid w:val="0025298A"/>
    <w:rsid w:val="00252FDB"/>
    <w:rsid w:val="00252FE9"/>
    <w:rsid w:val="002534DF"/>
    <w:rsid w:val="00253D0F"/>
    <w:rsid w:val="00254CF3"/>
    <w:rsid w:val="00254EF7"/>
    <w:rsid w:val="0025500B"/>
    <w:rsid w:val="00255A8F"/>
    <w:rsid w:val="00255CED"/>
    <w:rsid w:val="002563FE"/>
    <w:rsid w:val="00256465"/>
    <w:rsid w:val="00256E93"/>
    <w:rsid w:val="00256EFF"/>
    <w:rsid w:val="00256F1C"/>
    <w:rsid w:val="002570F7"/>
    <w:rsid w:val="002571EB"/>
    <w:rsid w:val="00257271"/>
    <w:rsid w:val="00257297"/>
    <w:rsid w:val="002573EE"/>
    <w:rsid w:val="002574C5"/>
    <w:rsid w:val="00260C34"/>
    <w:rsid w:val="002617EB"/>
    <w:rsid w:val="002618A4"/>
    <w:rsid w:val="002620FA"/>
    <w:rsid w:val="00262421"/>
    <w:rsid w:val="00263184"/>
    <w:rsid w:val="002631BB"/>
    <w:rsid w:val="00263369"/>
    <w:rsid w:val="00263735"/>
    <w:rsid w:val="002638B5"/>
    <w:rsid w:val="00264394"/>
    <w:rsid w:val="002643FA"/>
    <w:rsid w:val="002645CF"/>
    <w:rsid w:val="002647B9"/>
    <w:rsid w:val="002649B3"/>
    <w:rsid w:val="00264A41"/>
    <w:rsid w:val="00264D05"/>
    <w:rsid w:val="0026538B"/>
    <w:rsid w:val="00266B8C"/>
    <w:rsid w:val="00266BE3"/>
    <w:rsid w:val="00267131"/>
    <w:rsid w:val="002678BE"/>
    <w:rsid w:val="00267A2E"/>
    <w:rsid w:val="00267F26"/>
    <w:rsid w:val="0027063B"/>
    <w:rsid w:val="0027071A"/>
    <w:rsid w:val="00270E53"/>
    <w:rsid w:val="00270F50"/>
    <w:rsid w:val="002712B9"/>
    <w:rsid w:val="002714CD"/>
    <w:rsid w:val="002719FB"/>
    <w:rsid w:val="00271EA9"/>
    <w:rsid w:val="002721CB"/>
    <w:rsid w:val="002725C1"/>
    <w:rsid w:val="0027292D"/>
    <w:rsid w:val="00272B3B"/>
    <w:rsid w:val="00272BE3"/>
    <w:rsid w:val="00272D4C"/>
    <w:rsid w:val="00272F51"/>
    <w:rsid w:val="00273165"/>
    <w:rsid w:val="00273253"/>
    <w:rsid w:val="00273C06"/>
    <w:rsid w:val="002746AF"/>
    <w:rsid w:val="002748FE"/>
    <w:rsid w:val="00274DA5"/>
    <w:rsid w:val="00274E29"/>
    <w:rsid w:val="00275812"/>
    <w:rsid w:val="00275BF6"/>
    <w:rsid w:val="00275C6A"/>
    <w:rsid w:val="00276A81"/>
    <w:rsid w:val="002775AC"/>
    <w:rsid w:val="0027767C"/>
    <w:rsid w:val="00277E58"/>
    <w:rsid w:val="00277F81"/>
    <w:rsid w:val="00280046"/>
    <w:rsid w:val="00280957"/>
    <w:rsid w:val="00280970"/>
    <w:rsid w:val="00280CA2"/>
    <w:rsid w:val="0028111D"/>
    <w:rsid w:val="0028146D"/>
    <w:rsid w:val="00281527"/>
    <w:rsid w:val="0028287C"/>
    <w:rsid w:val="00282A32"/>
    <w:rsid w:val="00282A44"/>
    <w:rsid w:val="00283359"/>
    <w:rsid w:val="00283A96"/>
    <w:rsid w:val="00283B4B"/>
    <w:rsid w:val="00283C1E"/>
    <w:rsid w:val="00283F23"/>
    <w:rsid w:val="00284255"/>
    <w:rsid w:val="002844FB"/>
    <w:rsid w:val="0028490F"/>
    <w:rsid w:val="00284990"/>
    <w:rsid w:val="00284B9B"/>
    <w:rsid w:val="00284C3B"/>
    <w:rsid w:val="00284E43"/>
    <w:rsid w:val="0028506A"/>
    <w:rsid w:val="00285459"/>
    <w:rsid w:val="0028546B"/>
    <w:rsid w:val="002855BC"/>
    <w:rsid w:val="00286051"/>
    <w:rsid w:val="00286052"/>
    <w:rsid w:val="00286145"/>
    <w:rsid w:val="0028637D"/>
    <w:rsid w:val="002863FF"/>
    <w:rsid w:val="00286864"/>
    <w:rsid w:val="00286BFA"/>
    <w:rsid w:val="00286C64"/>
    <w:rsid w:val="00287563"/>
    <w:rsid w:val="002878C3"/>
    <w:rsid w:val="00287962"/>
    <w:rsid w:val="00290408"/>
    <w:rsid w:val="00291483"/>
    <w:rsid w:val="00291B20"/>
    <w:rsid w:val="00291F5F"/>
    <w:rsid w:val="00292002"/>
    <w:rsid w:val="00292182"/>
    <w:rsid w:val="00292619"/>
    <w:rsid w:val="002926CC"/>
    <w:rsid w:val="00293CF6"/>
    <w:rsid w:val="00294048"/>
    <w:rsid w:val="002941F8"/>
    <w:rsid w:val="00294B1E"/>
    <w:rsid w:val="00294B54"/>
    <w:rsid w:val="00294EF5"/>
    <w:rsid w:val="002950FA"/>
    <w:rsid w:val="0029521B"/>
    <w:rsid w:val="0029551E"/>
    <w:rsid w:val="00295711"/>
    <w:rsid w:val="00296143"/>
    <w:rsid w:val="002961C0"/>
    <w:rsid w:val="00296428"/>
    <w:rsid w:val="00296792"/>
    <w:rsid w:val="00297968"/>
    <w:rsid w:val="00297D6A"/>
    <w:rsid w:val="002A0193"/>
    <w:rsid w:val="002A042D"/>
    <w:rsid w:val="002A0568"/>
    <w:rsid w:val="002A0F65"/>
    <w:rsid w:val="002A1172"/>
    <w:rsid w:val="002A17F8"/>
    <w:rsid w:val="002A18B0"/>
    <w:rsid w:val="002A1C2F"/>
    <w:rsid w:val="002A2154"/>
    <w:rsid w:val="002A23E7"/>
    <w:rsid w:val="002A2FB3"/>
    <w:rsid w:val="002A3987"/>
    <w:rsid w:val="002A3B24"/>
    <w:rsid w:val="002A4563"/>
    <w:rsid w:val="002A4809"/>
    <w:rsid w:val="002A5132"/>
    <w:rsid w:val="002A5297"/>
    <w:rsid w:val="002A575A"/>
    <w:rsid w:val="002A57BB"/>
    <w:rsid w:val="002A62C6"/>
    <w:rsid w:val="002A6316"/>
    <w:rsid w:val="002A6429"/>
    <w:rsid w:val="002A64AC"/>
    <w:rsid w:val="002A721C"/>
    <w:rsid w:val="002A76AB"/>
    <w:rsid w:val="002A7AD6"/>
    <w:rsid w:val="002A7B7C"/>
    <w:rsid w:val="002A7F25"/>
    <w:rsid w:val="002A7FDC"/>
    <w:rsid w:val="002B008E"/>
    <w:rsid w:val="002B01D5"/>
    <w:rsid w:val="002B0665"/>
    <w:rsid w:val="002B06CF"/>
    <w:rsid w:val="002B07E2"/>
    <w:rsid w:val="002B0854"/>
    <w:rsid w:val="002B0D16"/>
    <w:rsid w:val="002B0E53"/>
    <w:rsid w:val="002B104A"/>
    <w:rsid w:val="002B11A7"/>
    <w:rsid w:val="002B11FD"/>
    <w:rsid w:val="002B12A8"/>
    <w:rsid w:val="002B1C54"/>
    <w:rsid w:val="002B2083"/>
    <w:rsid w:val="002B2967"/>
    <w:rsid w:val="002B2FF5"/>
    <w:rsid w:val="002B3FA3"/>
    <w:rsid w:val="002B4371"/>
    <w:rsid w:val="002B498D"/>
    <w:rsid w:val="002B49B9"/>
    <w:rsid w:val="002B4AE4"/>
    <w:rsid w:val="002B4BAE"/>
    <w:rsid w:val="002B4E18"/>
    <w:rsid w:val="002B52C9"/>
    <w:rsid w:val="002B52FE"/>
    <w:rsid w:val="002B577E"/>
    <w:rsid w:val="002B57B3"/>
    <w:rsid w:val="002B57EB"/>
    <w:rsid w:val="002B5B05"/>
    <w:rsid w:val="002B5CEA"/>
    <w:rsid w:val="002B62EC"/>
    <w:rsid w:val="002B6379"/>
    <w:rsid w:val="002B63A6"/>
    <w:rsid w:val="002B672A"/>
    <w:rsid w:val="002B67E6"/>
    <w:rsid w:val="002B6AEA"/>
    <w:rsid w:val="002B6D23"/>
    <w:rsid w:val="002B6DAA"/>
    <w:rsid w:val="002B715E"/>
    <w:rsid w:val="002B75FF"/>
    <w:rsid w:val="002B76AD"/>
    <w:rsid w:val="002B777F"/>
    <w:rsid w:val="002B7ED4"/>
    <w:rsid w:val="002C01C9"/>
    <w:rsid w:val="002C10EB"/>
    <w:rsid w:val="002C1E20"/>
    <w:rsid w:val="002C2502"/>
    <w:rsid w:val="002C270B"/>
    <w:rsid w:val="002C2954"/>
    <w:rsid w:val="002C2C37"/>
    <w:rsid w:val="002C2CAA"/>
    <w:rsid w:val="002C37D9"/>
    <w:rsid w:val="002C37E7"/>
    <w:rsid w:val="002C3A5E"/>
    <w:rsid w:val="002C413A"/>
    <w:rsid w:val="002C44ED"/>
    <w:rsid w:val="002C494B"/>
    <w:rsid w:val="002C556C"/>
    <w:rsid w:val="002C55C3"/>
    <w:rsid w:val="002C55D3"/>
    <w:rsid w:val="002C5843"/>
    <w:rsid w:val="002C5898"/>
    <w:rsid w:val="002C60B6"/>
    <w:rsid w:val="002C6581"/>
    <w:rsid w:val="002C6696"/>
    <w:rsid w:val="002C6F4A"/>
    <w:rsid w:val="002C724F"/>
    <w:rsid w:val="002C76DE"/>
    <w:rsid w:val="002C78B1"/>
    <w:rsid w:val="002C7DFA"/>
    <w:rsid w:val="002D027C"/>
    <w:rsid w:val="002D03ED"/>
    <w:rsid w:val="002D06D3"/>
    <w:rsid w:val="002D0DDB"/>
    <w:rsid w:val="002D1129"/>
    <w:rsid w:val="002D14DB"/>
    <w:rsid w:val="002D1804"/>
    <w:rsid w:val="002D2319"/>
    <w:rsid w:val="002D2404"/>
    <w:rsid w:val="002D2513"/>
    <w:rsid w:val="002D25E7"/>
    <w:rsid w:val="002D298C"/>
    <w:rsid w:val="002D31DA"/>
    <w:rsid w:val="002D3B15"/>
    <w:rsid w:val="002D3B9A"/>
    <w:rsid w:val="002D3D65"/>
    <w:rsid w:val="002D4654"/>
    <w:rsid w:val="002D47DE"/>
    <w:rsid w:val="002D47EA"/>
    <w:rsid w:val="002D59B6"/>
    <w:rsid w:val="002D5B3B"/>
    <w:rsid w:val="002D6426"/>
    <w:rsid w:val="002D65CE"/>
    <w:rsid w:val="002D67E5"/>
    <w:rsid w:val="002D690D"/>
    <w:rsid w:val="002D6A59"/>
    <w:rsid w:val="002D6B31"/>
    <w:rsid w:val="002D6C5C"/>
    <w:rsid w:val="002D7086"/>
    <w:rsid w:val="002D7C0A"/>
    <w:rsid w:val="002D7C19"/>
    <w:rsid w:val="002E0E0E"/>
    <w:rsid w:val="002E12D2"/>
    <w:rsid w:val="002E180F"/>
    <w:rsid w:val="002E1CD9"/>
    <w:rsid w:val="002E1D17"/>
    <w:rsid w:val="002E1F4B"/>
    <w:rsid w:val="002E2EB2"/>
    <w:rsid w:val="002E3657"/>
    <w:rsid w:val="002E43B5"/>
    <w:rsid w:val="002E467D"/>
    <w:rsid w:val="002E47CD"/>
    <w:rsid w:val="002E4E93"/>
    <w:rsid w:val="002E5130"/>
    <w:rsid w:val="002E55E3"/>
    <w:rsid w:val="002E63B6"/>
    <w:rsid w:val="002E67D9"/>
    <w:rsid w:val="002E688F"/>
    <w:rsid w:val="002E6A16"/>
    <w:rsid w:val="002E6E15"/>
    <w:rsid w:val="002E6F62"/>
    <w:rsid w:val="002E704F"/>
    <w:rsid w:val="002E75AD"/>
    <w:rsid w:val="002E79EA"/>
    <w:rsid w:val="002F07C8"/>
    <w:rsid w:val="002F08EB"/>
    <w:rsid w:val="002F0DB5"/>
    <w:rsid w:val="002F0DC8"/>
    <w:rsid w:val="002F0EBF"/>
    <w:rsid w:val="002F108F"/>
    <w:rsid w:val="002F1426"/>
    <w:rsid w:val="002F1446"/>
    <w:rsid w:val="002F14AC"/>
    <w:rsid w:val="002F14DB"/>
    <w:rsid w:val="002F1785"/>
    <w:rsid w:val="002F182D"/>
    <w:rsid w:val="002F1872"/>
    <w:rsid w:val="002F1C5B"/>
    <w:rsid w:val="002F1CF6"/>
    <w:rsid w:val="002F1FCF"/>
    <w:rsid w:val="002F28A2"/>
    <w:rsid w:val="002F2E36"/>
    <w:rsid w:val="002F33A3"/>
    <w:rsid w:val="002F353F"/>
    <w:rsid w:val="002F3CC8"/>
    <w:rsid w:val="002F45FC"/>
    <w:rsid w:val="002F47D1"/>
    <w:rsid w:val="002F48AD"/>
    <w:rsid w:val="002F4BCE"/>
    <w:rsid w:val="002F4CE9"/>
    <w:rsid w:val="002F5053"/>
    <w:rsid w:val="002F56D1"/>
    <w:rsid w:val="002F5D43"/>
    <w:rsid w:val="002F5D51"/>
    <w:rsid w:val="002F64B9"/>
    <w:rsid w:val="002F6524"/>
    <w:rsid w:val="002F65DB"/>
    <w:rsid w:val="002F7489"/>
    <w:rsid w:val="002F7E38"/>
    <w:rsid w:val="0030011E"/>
    <w:rsid w:val="00300253"/>
    <w:rsid w:val="003002D9"/>
    <w:rsid w:val="00301E35"/>
    <w:rsid w:val="00302F03"/>
    <w:rsid w:val="003034A4"/>
    <w:rsid w:val="003037F3"/>
    <w:rsid w:val="00303D8F"/>
    <w:rsid w:val="00303F2F"/>
    <w:rsid w:val="00303FD9"/>
    <w:rsid w:val="003041B4"/>
    <w:rsid w:val="0030435E"/>
    <w:rsid w:val="0030464E"/>
    <w:rsid w:val="0030478F"/>
    <w:rsid w:val="0030489B"/>
    <w:rsid w:val="003049DE"/>
    <w:rsid w:val="00305323"/>
    <w:rsid w:val="00305485"/>
    <w:rsid w:val="00305D98"/>
    <w:rsid w:val="00305F2D"/>
    <w:rsid w:val="003060ED"/>
    <w:rsid w:val="00306897"/>
    <w:rsid w:val="003069D9"/>
    <w:rsid w:val="00306A83"/>
    <w:rsid w:val="00306B3B"/>
    <w:rsid w:val="00306E5E"/>
    <w:rsid w:val="0030703C"/>
    <w:rsid w:val="00307269"/>
    <w:rsid w:val="003072D1"/>
    <w:rsid w:val="0030742F"/>
    <w:rsid w:val="00307874"/>
    <w:rsid w:val="00307B39"/>
    <w:rsid w:val="00307D80"/>
    <w:rsid w:val="003103BB"/>
    <w:rsid w:val="003106B5"/>
    <w:rsid w:val="003106C2"/>
    <w:rsid w:val="00310F4E"/>
    <w:rsid w:val="0031142B"/>
    <w:rsid w:val="003116B7"/>
    <w:rsid w:val="0031264E"/>
    <w:rsid w:val="00312C95"/>
    <w:rsid w:val="00312CC4"/>
    <w:rsid w:val="00312D45"/>
    <w:rsid w:val="00312FE8"/>
    <w:rsid w:val="0031324D"/>
    <w:rsid w:val="003133B6"/>
    <w:rsid w:val="00313430"/>
    <w:rsid w:val="0031362B"/>
    <w:rsid w:val="0031386F"/>
    <w:rsid w:val="00313DAD"/>
    <w:rsid w:val="00313ED0"/>
    <w:rsid w:val="003142CA"/>
    <w:rsid w:val="00314C65"/>
    <w:rsid w:val="00314DA3"/>
    <w:rsid w:val="00315B0B"/>
    <w:rsid w:val="00315DC2"/>
    <w:rsid w:val="00315DE0"/>
    <w:rsid w:val="003168E9"/>
    <w:rsid w:val="00316E5F"/>
    <w:rsid w:val="00317220"/>
    <w:rsid w:val="00317609"/>
    <w:rsid w:val="00317747"/>
    <w:rsid w:val="00317842"/>
    <w:rsid w:val="0031795C"/>
    <w:rsid w:val="00317AB4"/>
    <w:rsid w:val="00317E27"/>
    <w:rsid w:val="003203BE"/>
    <w:rsid w:val="00320907"/>
    <w:rsid w:val="00320F65"/>
    <w:rsid w:val="00321243"/>
    <w:rsid w:val="003213C1"/>
    <w:rsid w:val="00321763"/>
    <w:rsid w:val="00321928"/>
    <w:rsid w:val="003228AD"/>
    <w:rsid w:val="00322BD8"/>
    <w:rsid w:val="003230E8"/>
    <w:rsid w:val="00323412"/>
    <w:rsid w:val="00323421"/>
    <w:rsid w:val="003234CC"/>
    <w:rsid w:val="0032355E"/>
    <w:rsid w:val="003235B6"/>
    <w:rsid w:val="00323CE7"/>
    <w:rsid w:val="00323DD6"/>
    <w:rsid w:val="00323FF6"/>
    <w:rsid w:val="003240EB"/>
    <w:rsid w:val="00324135"/>
    <w:rsid w:val="003241B0"/>
    <w:rsid w:val="00324717"/>
    <w:rsid w:val="003247F9"/>
    <w:rsid w:val="003249BA"/>
    <w:rsid w:val="003257D1"/>
    <w:rsid w:val="00326246"/>
    <w:rsid w:val="003263AE"/>
    <w:rsid w:val="00326706"/>
    <w:rsid w:val="003269BD"/>
    <w:rsid w:val="00326A25"/>
    <w:rsid w:val="00326CC4"/>
    <w:rsid w:val="00326E93"/>
    <w:rsid w:val="0032755B"/>
    <w:rsid w:val="00327989"/>
    <w:rsid w:val="00327AE1"/>
    <w:rsid w:val="00327DE4"/>
    <w:rsid w:val="00330290"/>
    <w:rsid w:val="0033056A"/>
    <w:rsid w:val="00330656"/>
    <w:rsid w:val="00330ACD"/>
    <w:rsid w:val="00331929"/>
    <w:rsid w:val="00331A2C"/>
    <w:rsid w:val="00331A54"/>
    <w:rsid w:val="00331E71"/>
    <w:rsid w:val="00332152"/>
    <w:rsid w:val="00333C7E"/>
    <w:rsid w:val="00333D04"/>
    <w:rsid w:val="003342E1"/>
    <w:rsid w:val="00334367"/>
    <w:rsid w:val="00334499"/>
    <w:rsid w:val="0033486B"/>
    <w:rsid w:val="00335240"/>
    <w:rsid w:val="00335CD9"/>
    <w:rsid w:val="00336149"/>
    <w:rsid w:val="003365EF"/>
    <w:rsid w:val="00336982"/>
    <w:rsid w:val="003373E2"/>
    <w:rsid w:val="003375D7"/>
    <w:rsid w:val="00337C11"/>
    <w:rsid w:val="00337EAA"/>
    <w:rsid w:val="0034035B"/>
    <w:rsid w:val="003408B3"/>
    <w:rsid w:val="00341159"/>
    <w:rsid w:val="0034154C"/>
    <w:rsid w:val="00341604"/>
    <w:rsid w:val="00341709"/>
    <w:rsid w:val="00341A92"/>
    <w:rsid w:val="00341D6D"/>
    <w:rsid w:val="00342809"/>
    <w:rsid w:val="00342DC1"/>
    <w:rsid w:val="00342FB8"/>
    <w:rsid w:val="0034305E"/>
    <w:rsid w:val="003431AF"/>
    <w:rsid w:val="0034345B"/>
    <w:rsid w:val="0034347C"/>
    <w:rsid w:val="00343D48"/>
    <w:rsid w:val="00344227"/>
    <w:rsid w:val="00344D99"/>
    <w:rsid w:val="00345220"/>
    <w:rsid w:val="0034535D"/>
    <w:rsid w:val="00345B94"/>
    <w:rsid w:val="00345E9A"/>
    <w:rsid w:val="00345F2E"/>
    <w:rsid w:val="00345F63"/>
    <w:rsid w:val="003469A0"/>
    <w:rsid w:val="00346AA7"/>
    <w:rsid w:val="00346C5D"/>
    <w:rsid w:val="0034713B"/>
    <w:rsid w:val="00347E25"/>
    <w:rsid w:val="00347F37"/>
    <w:rsid w:val="00347FEC"/>
    <w:rsid w:val="003500F5"/>
    <w:rsid w:val="0035019E"/>
    <w:rsid w:val="0035076B"/>
    <w:rsid w:val="003507D7"/>
    <w:rsid w:val="00350959"/>
    <w:rsid w:val="00351125"/>
    <w:rsid w:val="003515B5"/>
    <w:rsid w:val="003515B6"/>
    <w:rsid w:val="003517E0"/>
    <w:rsid w:val="00351BAB"/>
    <w:rsid w:val="00351C84"/>
    <w:rsid w:val="00352140"/>
    <w:rsid w:val="00352309"/>
    <w:rsid w:val="00352362"/>
    <w:rsid w:val="00352586"/>
    <w:rsid w:val="00352934"/>
    <w:rsid w:val="00352C42"/>
    <w:rsid w:val="003531F4"/>
    <w:rsid w:val="003534DE"/>
    <w:rsid w:val="00353876"/>
    <w:rsid w:val="00353DA0"/>
    <w:rsid w:val="0035406E"/>
    <w:rsid w:val="003542B1"/>
    <w:rsid w:val="00354FA7"/>
    <w:rsid w:val="003559C6"/>
    <w:rsid w:val="00355E7E"/>
    <w:rsid w:val="003560F2"/>
    <w:rsid w:val="00356685"/>
    <w:rsid w:val="00356741"/>
    <w:rsid w:val="0035790E"/>
    <w:rsid w:val="00357B24"/>
    <w:rsid w:val="00360377"/>
    <w:rsid w:val="00360428"/>
    <w:rsid w:val="0036064D"/>
    <w:rsid w:val="00360CBB"/>
    <w:rsid w:val="00361B99"/>
    <w:rsid w:val="00361E20"/>
    <w:rsid w:val="00362B25"/>
    <w:rsid w:val="0036375D"/>
    <w:rsid w:val="003638CA"/>
    <w:rsid w:val="00363C0B"/>
    <w:rsid w:val="00363DFB"/>
    <w:rsid w:val="003645D5"/>
    <w:rsid w:val="0036486B"/>
    <w:rsid w:val="003648AD"/>
    <w:rsid w:val="00364A22"/>
    <w:rsid w:val="00364B2B"/>
    <w:rsid w:val="00364B72"/>
    <w:rsid w:val="00365626"/>
    <w:rsid w:val="0036616A"/>
    <w:rsid w:val="003664F6"/>
    <w:rsid w:val="00366978"/>
    <w:rsid w:val="00366A5E"/>
    <w:rsid w:val="00366B21"/>
    <w:rsid w:val="00367460"/>
    <w:rsid w:val="0036749C"/>
    <w:rsid w:val="0036752C"/>
    <w:rsid w:val="00367712"/>
    <w:rsid w:val="00367B9A"/>
    <w:rsid w:val="00367FE7"/>
    <w:rsid w:val="00371002"/>
    <w:rsid w:val="003716CB"/>
    <w:rsid w:val="00371890"/>
    <w:rsid w:val="003719D4"/>
    <w:rsid w:val="00371C07"/>
    <w:rsid w:val="00372164"/>
    <w:rsid w:val="003724AC"/>
    <w:rsid w:val="003727C0"/>
    <w:rsid w:val="0037284B"/>
    <w:rsid w:val="003728A1"/>
    <w:rsid w:val="00372E74"/>
    <w:rsid w:val="00373AAC"/>
    <w:rsid w:val="00373AF6"/>
    <w:rsid w:val="00373E58"/>
    <w:rsid w:val="00374771"/>
    <w:rsid w:val="003747B8"/>
    <w:rsid w:val="00374FE2"/>
    <w:rsid w:val="00375235"/>
    <w:rsid w:val="003756A5"/>
    <w:rsid w:val="00375DFD"/>
    <w:rsid w:val="00375E39"/>
    <w:rsid w:val="00376399"/>
    <w:rsid w:val="003763C2"/>
    <w:rsid w:val="0037652F"/>
    <w:rsid w:val="0037703D"/>
    <w:rsid w:val="00377725"/>
    <w:rsid w:val="00377E40"/>
    <w:rsid w:val="003805A7"/>
    <w:rsid w:val="003808A3"/>
    <w:rsid w:val="003808A7"/>
    <w:rsid w:val="0038099D"/>
    <w:rsid w:val="00380C65"/>
    <w:rsid w:val="00380FCC"/>
    <w:rsid w:val="00381376"/>
    <w:rsid w:val="003813D4"/>
    <w:rsid w:val="003818F2"/>
    <w:rsid w:val="00381934"/>
    <w:rsid w:val="00381BFC"/>
    <w:rsid w:val="00382AED"/>
    <w:rsid w:val="00383C62"/>
    <w:rsid w:val="00383C95"/>
    <w:rsid w:val="0038475E"/>
    <w:rsid w:val="00384810"/>
    <w:rsid w:val="003851CC"/>
    <w:rsid w:val="00385251"/>
    <w:rsid w:val="003856E7"/>
    <w:rsid w:val="00385D9C"/>
    <w:rsid w:val="003864BE"/>
    <w:rsid w:val="00386896"/>
    <w:rsid w:val="00386EB6"/>
    <w:rsid w:val="00387033"/>
    <w:rsid w:val="0038714C"/>
    <w:rsid w:val="003877F6"/>
    <w:rsid w:val="00387860"/>
    <w:rsid w:val="00387945"/>
    <w:rsid w:val="003901DE"/>
    <w:rsid w:val="003904A9"/>
    <w:rsid w:val="00390826"/>
    <w:rsid w:val="00390AFC"/>
    <w:rsid w:val="00390DF4"/>
    <w:rsid w:val="00390FDB"/>
    <w:rsid w:val="00391072"/>
    <w:rsid w:val="00391131"/>
    <w:rsid w:val="00391519"/>
    <w:rsid w:val="0039197D"/>
    <w:rsid w:val="00391A6A"/>
    <w:rsid w:val="00391CE9"/>
    <w:rsid w:val="00391FFB"/>
    <w:rsid w:val="00392335"/>
    <w:rsid w:val="003923B3"/>
    <w:rsid w:val="003929F4"/>
    <w:rsid w:val="00392A1B"/>
    <w:rsid w:val="00393747"/>
    <w:rsid w:val="00393CDC"/>
    <w:rsid w:val="0039476B"/>
    <w:rsid w:val="00394918"/>
    <w:rsid w:val="0039493F"/>
    <w:rsid w:val="00394B29"/>
    <w:rsid w:val="00394F07"/>
    <w:rsid w:val="0039508B"/>
    <w:rsid w:val="003955C7"/>
    <w:rsid w:val="00395AFB"/>
    <w:rsid w:val="00395CBF"/>
    <w:rsid w:val="00395E3C"/>
    <w:rsid w:val="00396123"/>
    <w:rsid w:val="00396183"/>
    <w:rsid w:val="00396D07"/>
    <w:rsid w:val="0039733B"/>
    <w:rsid w:val="00397572"/>
    <w:rsid w:val="003975B3"/>
    <w:rsid w:val="003978C0"/>
    <w:rsid w:val="00397E7E"/>
    <w:rsid w:val="003A0061"/>
    <w:rsid w:val="003A013A"/>
    <w:rsid w:val="003A037F"/>
    <w:rsid w:val="003A0965"/>
    <w:rsid w:val="003A117B"/>
    <w:rsid w:val="003A1185"/>
    <w:rsid w:val="003A1300"/>
    <w:rsid w:val="003A1342"/>
    <w:rsid w:val="003A1351"/>
    <w:rsid w:val="003A14F2"/>
    <w:rsid w:val="003A15BC"/>
    <w:rsid w:val="003A16AC"/>
    <w:rsid w:val="003A1A4F"/>
    <w:rsid w:val="003A1CD4"/>
    <w:rsid w:val="003A249D"/>
    <w:rsid w:val="003A2B32"/>
    <w:rsid w:val="003A2CC1"/>
    <w:rsid w:val="003A31D9"/>
    <w:rsid w:val="003A3D44"/>
    <w:rsid w:val="003A4135"/>
    <w:rsid w:val="003A46DE"/>
    <w:rsid w:val="003A49A2"/>
    <w:rsid w:val="003A4C9C"/>
    <w:rsid w:val="003A5338"/>
    <w:rsid w:val="003A53BD"/>
    <w:rsid w:val="003A5401"/>
    <w:rsid w:val="003A5671"/>
    <w:rsid w:val="003A5681"/>
    <w:rsid w:val="003A56B9"/>
    <w:rsid w:val="003A5988"/>
    <w:rsid w:val="003A5FA5"/>
    <w:rsid w:val="003A6164"/>
    <w:rsid w:val="003A7312"/>
    <w:rsid w:val="003B0565"/>
    <w:rsid w:val="003B0D51"/>
    <w:rsid w:val="003B1850"/>
    <w:rsid w:val="003B1DC7"/>
    <w:rsid w:val="003B271B"/>
    <w:rsid w:val="003B2ADF"/>
    <w:rsid w:val="003B2D2E"/>
    <w:rsid w:val="003B2EED"/>
    <w:rsid w:val="003B2FB5"/>
    <w:rsid w:val="003B3040"/>
    <w:rsid w:val="003B3330"/>
    <w:rsid w:val="003B3516"/>
    <w:rsid w:val="003B38A2"/>
    <w:rsid w:val="003B3D0A"/>
    <w:rsid w:val="003B4244"/>
    <w:rsid w:val="003B44CB"/>
    <w:rsid w:val="003B4855"/>
    <w:rsid w:val="003B4A3F"/>
    <w:rsid w:val="003B5269"/>
    <w:rsid w:val="003B542C"/>
    <w:rsid w:val="003B560D"/>
    <w:rsid w:val="003B5C0F"/>
    <w:rsid w:val="003B5D78"/>
    <w:rsid w:val="003B5E15"/>
    <w:rsid w:val="003B5EDB"/>
    <w:rsid w:val="003B634F"/>
    <w:rsid w:val="003B6690"/>
    <w:rsid w:val="003B6E9B"/>
    <w:rsid w:val="003B6F45"/>
    <w:rsid w:val="003B6F81"/>
    <w:rsid w:val="003B718F"/>
    <w:rsid w:val="003B72D1"/>
    <w:rsid w:val="003B76EC"/>
    <w:rsid w:val="003B78D9"/>
    <w:rsid w:val="003C00E0"/>
    <w:rsid w:val="003C099F"/>
    <w:rsid w:val="003C0A06"/>
    <w:rsid w:val="003C0C16"/>
    <w:rsid w:val="003C0DAE"/>
    <w:rsid w:val="003C0DEF"/>
    <w:rsid w:val="003C0E70"/>
    <w:rsid w:val="003C12A9"/>
    <w:rsid w:val="003C1794"/>
    <w:rsid w:val="003C1C50"/>
    <w:rsid w:val="003C1CF6"/>
    <w:rsid w:val="003C22EF"/>
    <w:rsid w:val="003C23CD"/>
    <w:rsid w:val="003C2589"/>
    <w:rsid w:val="003C27DA"/>
    <w:rsid w:val="003C2943"/>
    <w:rsid w:val="003C2BBC"/>
    <w:rsid w:val="003C2FC8"/>
    <w:rsid w:val="003C3338"/>
    <w:rsid w:val="003C380C"/>
    <w:rsid w:val="003C3A92"/>
    <w:rsid w:val="003C3D64"/>
    <w:rsid w:val="003C42D3"/>
    <w:rsid w:val="003C434C"/>
    <w:rsid w:val="003C4F1D"/>
    <w:rsid w:val="003C519C"/>
    <w:rsid w:val="003C5B50"/>
    <w:rsid w:val="003C5DED"/>
    <w:rsid w:val="003C6914"/>
    <w:rsid w:val="003C6E28"/>
    <w:rsid w:val="003C7A86"/>
    <w:rsid w:val="003C7ABB"/>
    <w:rsid w:val="003C7B94"/>
    <w:rsid w:val="003C7F18"/>
    <w:rsid w:val="003D0906"/>
    <w:rsid w:val="003D0F12"/>
    <w:rsid w:val="003D0F79"/>
    <w:rsid w:val="003D175E"/>
    <w:rsid w:val="003D1A0A"/>
    <w:rsid w:val="003D1AFE"/>
    <w:rsid w:val="003D1BC1"/>
    <w:rsid w:val="003D1CF5"/>
    <w:rsid w:val="003D1DF9"/>
    <w:rsid w:val="003D1FE2"/>
    <w:rsid w:val="003D1FFC"/>
    <w:rsid w:val="003D21D6"/>
    <w:rsid w:val="003D226E"/>
    <w:rsid w:val="003D22DF"/>
    <w:rsid w:val="003D22F4"/>
    <w:rsid w:val="003D2333"/>
    <w:rsid w:val="003D2371"/>
    <w:rsid w:val="003D2EEF"/>
    <w:rsid w:val="003D3366"/>
    <w:rsid w:val="003D3997"/>
    <w:rsid w:val="003D3A0E"/>
    <w:rsid w:val="003D3C59"/>
    <w:rsid w:val="003D409B"/>
    <w:rsid w:val="003D4277"/>
    <w:rsid w:val="003D42CE"/>
    <w:rsid w:val="003D4821"/>
    <w:rsid w:val="003D4945"/>
    <w:rsid w:val="003D4A69"/>
    <w:rsid w:val="003D4C15"/>
    <w:rsid w:val="003D4C38"/>
    <w:rsid w:val="003D53FE"/>
    <w:rsid w:val="003D57E0"/>
    <w:rsid w:val="003D58F9"/>
    <w:rsid w:val="003D6170"/>
    <w:rsid w:val="003D695B"/>
    <w:rsid w:val="003D7053"/>
    <w:rsid w:val="003D751E"/>
    <w:rsid w:val="003D76F9"/>
    <w:rsid w:val="003D7A35"/>
    <w:rsid w:val="003D7F25"/>
    <w:rsid w:val="003D7FDE"/>
    <w:rsid w:val="003E0328"/>
    <w:rsid w:val="003E08ED"/>
    <w:rsid w:val="003E0DC3"/>
    <w:rsid w:val="003E1649"/>
    <w:rsid w:val="003E16F4"/>
    <w:rsid w:val="003E18A8"/>
    <w:rsid w:val="003E2306"/>
    <w:rsid w:val="003E2EEE"/>
    <w:rsid w:val="003E3220"/>
    <w:rsid w:val="003E3488"/>
    <w:rsid w:val="003E3574"/>
    <w:rsid w:val="003E39E4"/>
    <w:rsid w:val="003E3F20"/>
    <w:rsid w:val="003E4130"/>
    <w:rsid w:val="003E4159"/>
    <w:rsid w:val="003E42E1"/>
    <w:rsid w:val="003E4627"/>
    <w:rsid w:val="003E462E"/>
    <w:rsid w:val="003E4B77"/>
    <w:rsid w:val="003E4F34"/>
    <w:rsid w:val="003E5ACE"/>
    <w:rsid w:val="003E5D16"/>
    <w:rsid w:val="003E5E95"/>
    <w:rsid w:val="003E5FE5"/>
    <w:rsid w:val="003E604E"/>
    <w:rsid w:val="003E6372"/>
    <w:rsid w:val="003E6481"/>
    <w:rsid w:val="003E65D0"/>
    <w:rsid w:val="003E67EE"/>
    <w:rsid w:val="003E6E36"/>
    <w:rsid w:val="003E6F34"/>
    <w:rsid w:val="003E7845"/>
    <w:rsid w:val="003E7945"/>
    <w:rsid w:val="003F0005"/>
    <w:rsid w:val="003F0364"/>
    <w:rsid w:val="003F05FE"/>
    <w:rsid w:val="003F07D0"/>
    <w:rsid w:val="003F093E"/>
    <w:rsid w:val="003F0E41"/>
    <w:rsid w:val="003F177F"/>
    <w:rsid w:val="003F1D00"/>
    <w:rsid w:val="003F1E23"/>
    <w:rsid w:val="003F2776"/>
    <w:rsid w:val="003F2CE4"/>
    <w:rsid w:val="003F2D16"/>
    <w:rsid w:val="003F349F"/>
    <w:rsid w:val="003F34D4"/>
    <w:rsid w:val="003F386E"/>
    <w:rsid w:val="003F3BCE"/>
    <w:rsid w:val="003F3C0E"/>
    <w:rsid w:val="003F3DDD"/>
    <w:rsid w:val="003F46EA"/>
    <w:rsid w:val="003F4E0C"/>
    <w:rsid w:val="003F567A"/>
    <w:rsid w:val="003F5907"/>
    <w:rsid w:val="003F61A6"/>
    <w:rsid w:val="003F6A67"/>
    <w:rsid w:val="003F6B62"/>
    <w:rsid w:val="003F6CCE"/>
    <w:rsid w:val="003F6EF4"/>
    <w:rsid w:val="003F7108"/>
    <w:rsid w:val="003F72E7"/>
    <w:rsid w:val="003F737D"/>
    <w:rsid w:val="003F73AD"/>
    <w:rsid w:val="003F754A"/>
    <w:rsid w:val="003F7679"/>
    <w:rsid w:val="003F7CB6"/>
    <w:rsid w:val="004002E2"/>
    <w:rsid w:val="004003DF"/>
    <w:rsid w:val="00400C83"/>
    <w:rsid w:val="00400E3E"/>
    <w:rsid w:val="0040129C"/>
    <w:rsid w:val="004014F0"/>
    <w:rsid w:val="0040196F"/>
    <w:rsid w:val="004019A5"/>
    <w:rsid w:val="00402145"/>
    <w:rsid w:val="004021A1"/>
    <w:rsid w:val="0040227C"/>
    <w:rsid w:val="00402428"/>
    <w:rsid w:val="00402CA9"/>
    <w:rsid w:val="00402E1A"/>
    <w:rsid w:val="00402F04"/>
    <w:rsid w:val="00403102"/>
    <w:rsid w:val="004036A6"/>
    <w:rsid w:val="00403775"/>
    <w:rsid w:val="00403923"/>
    <w:rsid w:val="004039C7"/>
    <w:rsid w:val="00403A62"/>
    <w:rsid w:val="00403DC4"/>
    <w:rsid w:val="0040441F"/>
    <w:rsid w:val="004044D9"/>
    <w:rsid w:val="00404769"/>
    <w:rsid w:val="0040484E"/>
    <w:rsid w:val="00404995"/>
    <w:rsid w:val="0040499B"/>
    <w:rsid w:val="0040543F"/>
    <w:rsid w:val="0040586F"/>
    <w:rsid w:val="00405B0A"/>
    <w:rsid w:val="00405B20"/>
    <w:rsid w:val="00405B3B"/>
    <w:rsid w:val="00406360"/>
    <w:rsid w:val="00406A4D"/>
    <w:rsid w:val="00407195"/>
    <w:rsid w:val="004072D6"/>
    <w:rsid w:val="00407451"/>
    <w:rsid w:val="0041054B"/>
    <w:rsid w:val="00410574"/>
    <w:rsid w:val="00410974"/>
    <w:rsid w:val="00410BC0"/>
    <w:rsid w:val="00410BEF"/>
    <w:rsid w:val="00411379"/>
    <w:rsid w:val="0041137C"/>
    <w:rsid w:val="004113A8"/>
    <w:rsid w:val="004113D9"/>
    <w:rsid w:val="00411845"/>
    <w:rsid w:val="00411E38"/>
    <w:rsid w:val="00411EE2"/>
    <w:rsid w:val="00412280"/>
    <w:rsid w:val="004123CF"/>
    <w:rsid w:val="0041249C"/>
    <w:rsid w:val="00412F8F"/>
    <w:rsid w:val="0041300A"/>
    <w:rsid w:val="004130E1"/>
    <w:rsid w:val="004133E7"/>
    <w:rsid w:val="00413C16"/>
    <w:rsid w:val="00414C9A"/>
    <w:rsid w:val="00415054"/>
    <w:rsid w:val="004157F5"/>
    <w:rsid w:val="00415F2B"/>
    <w:rsid w:val="00417367"/>
    <w:rsid w:val="00417383"/>
    <w:rsid w:val="00417584"/>
    <w:rsid w:val="004177CC"/>
    <w:rsid w:val="00417A1E"/>
    <w:rsid w:val="00417AB1"/>
    <w:rsid w:val="00417C69"/>
    <w:rsid w:val="004206A7"/>
    <w:rsid w:val="00420D11"/>
    <w:rsid w:val="00420FBE"/>
    <w:rsid w:val="004211A5"/>
    <w:rsid w:val="00421A43"/>
    <w:rsid w:val="00421AC2"/>
    <w:rsid w:val="00421F4E"/>
    <w:rsid w:val="00422538"/>
    <w:rsid w:val="00422599"/>
    <w:rsid w:val="004228BF"/>
    <w:rsid w:val="0042294F"/>
    <w:rsid w:val="00422A69"/>
    <w:rsid w:val="0042457A"/>
    <w:rsid w:val="0042457D"/>
    <w:rsid w:val="00424F97"/>
    <w:rsid w:val="004251BE"/>
    <w:rsid w:val="00425FD2"/>
    <w:rsid w:val="004260DC"/>
    <w:rsid w:val="004261B7"/>
    <w:rsid w:val="00427118"/>
    <w:rsid w:val="00427469"/>
    <w:rsid w:val="0042749A"/>
    <w:rsid w:val="0042763A"/>
    <w:rsid w:val="004278D5"/>
    <w:rsid w:val="00430459"/>
    <w:rsid w:val="00430A8A"/>
    <w:rsid w:val="00430C0C"/>
    <w:rsid w:val="00430E9D"/>
    <w:rsid w:val="00431037"/>
    <w:rsid w:val="00431059"/>
    <w:rsid w:val="00431518"/>
    <w:rsid w:val="004315CA"/>
    <w:rsid w:val="00431683"/>
    <w:rsid w:val="004319CA"/>
    <w:rsid w:val="00432416"/>
    <w:rsid w:val="004329FC"/>
    <w:rsid w:val="00432B47"/>
    <w:rsid w:val="00432F65"/>
    <w:rsid w:val="0043318C"/>
    <w:rsid w:val="004339FA"/>
    <w:rsid w:val="00433BD2"/>
    <w:rsid w:val="00433E7A"/>
    <w:rsid w:val="00434B34"/>
    <w:rsid w:val="00434B6D"/>
    <w:rsid w:val="00434E04"/>
    <w:rsid w:val="00434FDF"/>
    <w:rsid w:val="00435516"/>
    <w:rsid w:val="004356E9"/>
    <w:rsid w:val="0043583D"/>
    <w:rsid w:val="00435E75"/>
    <w:rsid w:val="00435ECC"/>
    <w:rsid w:val="00435FC6"/>
    <w:rsid w:val="0043602E"/>
    <w:rsid w:val="00436883"/>
    <w:rsid w:val="00436982"/>
    <w:rsid w:val="00436C8F"/>
    <w:rsid w:val="00436E18"/>
    <w:rsid w:val="0043755D"/>
    <w:rsid w:val="0043769C"/>
    <w:rsid w:val="00437753"/>
    <w:rsid w:val="00437E82"/>
    <w:rsid w:val="00437F89"/>
    <w:rsid w:val="00437FB4"/>
    <w:rsid w:val="00440BB0"/>
    <w:rsid w:val="0044110A"/>
    <w:rsid w:val="004413F3"/>
    <w:rsid w:val="0044153D"/>
    <w:rsid w:val="0044161E"/>
    <w:rsid w:val="0044193D"/>
    <w:rsid w:val="00441C5A"/>
    <w:rsid w:val="004425F2"/>
    <w:rsid w:val="00443675"/>
    <w:rsid w:val="00443D50"/>
    <w:rsid w:val="00443E65"/>
    <w:rsid w:val="0044401C"/>
    <w:rsid w:val="00444182"/>
    <w:rsid w:val="004442AB"/>
    <w:rsid w:val="004445E5"/>
    <w:rsid w:val="00444BF0"/>
    <w:rsid w:val="00444DF8"/>
    <w:rsid w:val="0044508C"/>
    <w:rsid w:val="00445177"/>
    <w:rsid w:val="00445487"/>
    <w:rsid w:val="00445591"/>
    <w:rsid w:val="0044575E"/>
    <w:rsid w:val="0044587B"/>
    <w:rsid w:val="004459C2"/>
    <w:rsid w:val="00445E84"/>
    <w:rsid w:val="00445FE3"/>
    <w:rsid w:val="00446B3B"/>
    <w:rsid w:val="00446FEF"/>
    <w:rsid w:val="00447437"/>
    <w:rsid w:val="00447710"/>
    <w:rsid w:val="00447A0A"/>
    <w:rsid w:val="00447E42"/>
    <w:rsid w:val="0045043D"/>
    <w:rsid w:val="0045045E"/>
    <w:rsid w:val="00450800"/>
    <w:rsid w:val="00450E9E"/>
    <w:rsid w:val="00450FD2"/>
    <w:rsid w:val="00450FF8"/>
    <w:rsid w:val="0045102F"/>
    <w:rsid w:val="0045133D"/>
    <w:rsid w:val="00451D32"/>
    <w:rsid w:val="0045229B"/>
    <w:rsid w:val="004524BD"/>
    <w:rsid w:val="0045267F"/>
    <w:rsid w:val="00452BFB"/>
    <w:rsid w:val="00452BFE"/>
    <w:rsid w:val="0045326F"/>
    <w:rsid w:val="0045327E"/>
    <w:rsid w:val="00453353"/>
    <w:rsid w:val="0045349D"/>
    <w:rsid w:val="004534B5"/>
    <w:rsid w:val="00453996"/>
    <w:rsid w:val="004539F6"/>
    <w:rsid w:val="00453BF7"/>
    <w:rsid w:val="00453F7F"/>
    <w:rsid w:val="0045437E"/>
    <w:rsid w:val="0045484A"/>
    <w:rsid w:val="00454E35"/>
    <w:rsid w:val="00455127"/>
    <w:rsid w:val="00455DCB"/>
    <w:rsid w:val="00455EDE"/>
    <w:rsid w:val="00456C71"/>
    <w:rsid w:val="00456EA3"/>
    <w:rsid w:val="00457216"/>
    <w:rsid w:val="004576A2"/>
    <w:rsid w:val="0046020B"/>
    <w:rsid w:val="004602FF"/>
    <w:rsid w:val="00460328"/>
    <w:rsid w:val="004605D0"/>
    <w:rsid w:val="00461365"/>
    <w:rsid w:val="00461B2C"/>
    <w:rsid w:val="00461C95"/>
    <w:rsid w:val="00462322"/>
    <w:rsid w:val="00462514"/>
    <w:rsid w:val="00462757"/>
    <w:rsid w:val="00463080"/>
    <w:rsid w:val="0046385D"/>
    <w:rsid w:val="00463ABF"/>
    <w:rsid w:val="00463F44"/>
    <w:rsid w:val="00464585"/>
    <w:rsid w:val="0046473F"/>
    <w:rsid w:val="00464780"/>
    <w:rsid w:val="00464826"/>
    <w:rsid w:val="00464B1E"/>
    <w:rsid w:val="00464C42"/>
    <w:rsid w:val="0046537C"/>
    <w:rsid w:val="004658A0"/>
    <w:rsid w:val="00465A81"/>
    <w:rsid w:val="00465FE2"/>
    <w:rsid w:val="0046625E"/>
    <w:rsid w:val="00466CDA"/>
    <w:rsid w:val="004671D5"/>
    <w:rsid w:val="00467320"/>
    <w:rsid w:val="004676F9"/>
    <w:rsid w:val="00467BA9"/>
    <w:rsid w:val="00467F7F"/>
    <w:rsid w:val="004701D7"/>
    <w:rsid w:val="004701DC"/>
    <w:rsid w:val="0047049E"/>
    <w:rsid w:val="00470ACA"/>
    <w:rsid w:val="00470BA4"/>
    <w:rsid w:val="00470D83"/>
    <w:rsid w:val="00470EAF"/>
    <w:rsid w:val="00470F10"/>
    <w:rsid w:val="0047110E"/>
    <w:rsid w:val="00471156"/>
    <w:rsid w:val="004712E6"/>
    <w:rsid w:val="00471673"/>
    <w:rsid w:val="00471B05"/>
    <w:rsid w:val="004722F0"/>
    <w:rsid w:val="00473147"/>
    <w:rsid w:val="00473573"/>
    <w:rsid w:val="004739B7"/>
    <w:rsid w:val="00473FCC"/>
    <w:rsid w:val="004740D2"/>
    <w:rsid w:val="004742FC"/>
    <w:rsid w:val="00474B7C"/>
    <w:rsid w:val="00474FE7"/>
    <w:rsid w:val="004752AE"/>
    <w:rsid w:val="0047537E"/>
    <w:rsid w:val="004758B6"/>
    <w:rsid w:val="00475ACF"/>
    <w:rsid w:val="00475DDF"/>
    <w:rsid w:val="00476323"/>
    <w:rsid w:val="0047662E"/>
    <w:rsid w:val="00476680"/>
    <w:rsid w:val="0047670F"/>
    <w:rsid w:val="00476995"/>
    <w:rsid w:val="00477623"/>
    <w:rsid w:val="0047768F"/>
    <w:rsid w:val="00477D6B"/>
    <w:rsid w:val="00480042"/>
    <w:rsid w:val="004802FD"/>
    <w:rsid w:val="00480B1D"/>
    <w:rsid w:val="00481622"/>
    <w:rsid w:val="00481AF1"/>
    <w:rsid w:val="00481B96"/>
    <w:rsid w:val="00481C2B"/>
    <w:rsid w:val="00481D41"/>
    <w:rsid w:val="0048200F"/>
    <w:rsid w:val="00482228"/>
    <w:rsid w:val="0048238C"/>
    <w:rsid w:val="00482C1C"/>
    <w:rsid w:val="00483247"/>
    <w:rsid w:val="00483875"/>
    <w:rsid w:val="004838FD"/>
    <w:rsid w:val="00483BE4"/>
    <w:rsid w:val="00484004"/>
    <w:rsid w:val="0048426B"/>
    <w:rsid w:val="00484568"/>
    <w:rsid w:val="00484A6A"/>
    <w:rsid w:val="00484A6D"/>
    <w:rsid w:val="0048517A"/>
    <w:rsid w:val="00485831"/>
    <w:rsid w:val="0048588F"/>
    <w:rsid w:val="004860C5"/>
    <w:rsid w:val="004865DC"/>
    <w:rsid w:val="004866A9"/>
    <w:rsid w:val="004866E0"/>
    <w:rsid w:val="00486914"/>
    <w:rsid w:val="00486A13"/>
    <w:rsid w:val="00486C3D"/>
    <w:rsid w:val="0048798F"/>
    <w:rsid w:val="00487F8E"/>
    <w:rsid w:val="00490289"/>
    <w:rsid w:val="004903E4"/>
    <w:rsid w:val="0049074B"/>
    <w:rsid w:val="00490E4C"/>
    <w:rsid w:val="00490F4A"/>
    <w:rsid w:val="00490FF4"/>
    <w:rsid w:val="004912CF"/>
    <w:rsid w:val="00491591"/>
    <w:rsid w:val="00491974"/>
    <w:rsid w:val="00492166"/>
    <w:rsid w:val="00492369"/>
    <w:rsid w:val="004926E5"/>
    <w:rsid w:val="00492DAB"/>
    <w:rsid w:val="00492F28"/>
    <w:rsid w:val="00493101"/>
    <w:rsid w:val="004933C1"/>
    <w:rsid w:val="00493777"/>
    <w:rsid w:val="00493CBB"/>
    <w:rsid w:val="00493D19"/>
    <w:rsid w:val="00493E17"/>
    <w:rsid w:val="00494E0C"/>
    <w:rsid w:val="0049521F"/>
    <w:rsid w:val="0049523D"/>
    <w:rsid w:val="00495317"/>
    <w:rsid w:val="0049533F"/>
    <w:rsid w:val="00495F18"/>
    <w:rsid w:val="00496C0B"/>
    <w:rsid w:val="00496C59"/>
    <w:rsid w:val="00496D59"/>
    <w:rsid w:val="00496E0E"/>
    <w:rsid w:val="00497633"/>
    <w:rsid w:val="004978B0"/>
    <w:rsid w:val="004A01E0"/>
    <w:rsid w:val="004A0200"/>
    <w:rsid w:val="004A0ABF"/>
    <w:rsid w:val="004A0D21"/>
    <w:rsid w:val="004A10A5"/>
    <w:rsid w:val="004A10F4"/>
    <w:rsid w:val="004A1DC7"/>
    <w:rsid w:val="004A1ECC"/>
    <w:rsid w:val="004A2AC7"/>
    <w:rsid w:val="004A32C9"/>
    <w:rsid w:val="004A40C5"/>
    <w:rsid w:val="004A4731"/>
    <w:rsid w:val="004A4B91"/>
    <w:rsid w:val="004A4F5F"/>
    <w:rsid w:val="004A4FC9"/>
    <w:rsid w:val="004A52B7"/>
    <w:rsid w:val="004A57ED"/>
    <w:rsid w:val="004A5D53"/>
    <w:rsid w:val="004A6082"/>
    <w:rsid w:val="004A63CE"/>
    <w:rsid w:val="004A699B"/>
    <w:rsid w:val="004A6B77"/>
    <w:rsid w:val="004A6DB0"/>
    <w:rsid w:val="004A7AEF"/>
    <w:rsid w:val="004B0180"/>
    <w:rsid w:val="004B04DE"/>
    <w:rsid w:val="004B07F1"/>
    <w:rsid w:val="004B0ACF"/>
    <w:rsid w:val="004B0B4D"/>
    <w:rsid w:val="004B1006"/>
    <w:rsid w:val="004B1258"/>
    <w:rsid w:val="004B138D"/>
    <w:rsid w:val="004B146A"/>
    <w:rsid w:val="004B17C7"/>
    <w:rsid w:val="004B1E83"/>
    <w:rsid w:val="004B219C"/>
    <w:rsid w:val="004B2D88"/>
    <w:rsid w:val="004B376E"/>
    <w:rsid w:val="004B3C37"/>
    <w:rsid w:val="004B4987"/>
    <w:rsid w:val="004B4BEE"/>
    <w:rsid w:val="004B4C6E"/>
    <w:rsid w:val="004B5190"/>
    <w:rsid w:val="004B591E"/>
    <w:rsid w:val="004B5E60"/>
    <w:rsid w:val="004B6273"/>
    <w:rsid w:val="004B76A5"/>
    <w:rsid w:val="004C00F2"/>
    <w:rsid w:val="004C02FD"/>
    <w:rsid w:val="004C0A35"/>
    <w:rsid w:val="004C0B1F"/>
    <w:rsid w:val="004C0B54"/>
    <w:rsid w:val="004C0B61"/>
    <w:rsid w:val="004C0CFF"/>
    <w:rsid w:val="004C0F1A"/>
    <w:rsid w:val="004C0F42"/>
    <w:rsid w:val="004C172C"/>
    <w:rsid w:val="004C1E57"/>
    <w:rsid w:val="004C2000"/>
    <w:rsid w:val="004C2038"/>
    <w:rsid w:val="004C22C7"/>
    <w:rsid w:val="004C24A9"/>
    <w:rsid w:val="004C24BB"/>
    <w:rsid w:val="004C353A"/>
    <w:rsid w:val="004C3709"/>
    <w:rsid w:val="004C384F"/>
    <w:rsid w:val="004C3C90"/>
    <w:rsid w:val="004C429F"/>
    <w:rsid w:val="004C4CD4"/>
    <w:rsid w:val="004C554E"/>
    <w:rsid w:val="004C5570"/>
    <w:rsid w:val="004C55DC"/>
    <w:rsid w:val="004C6189"/>
    <w:rsid w:val="004C6667"/>
    <w:rsid w:val="004C67BA"/>
    <w:rsid w:val="004C6BFE"/>
    <w:rsid w:val="004C70A5"/>
    <w:rsid w:val="004C7840"/>
    <w:rsid w:val="004C7CC1"/>
    <w:rsid w:val="004D01A7"/>
    <w:rsid w:val="004D0362"/>
    <w:rsid w:val="004D0642"/>
    <w:rsid w:val="004D09C5"/>
    <w:rsid w:val="004D0D46"/>
    <w:rsid w:val="004D0F2D"/>
    <w:rsid w:val="004D12AD"/>
    <w:rsid w:val="004D1BBF"/>
    <w:rsid w:val="004D1CE4"/>
    <w:rsid w:val="004D1E09"/>
    <w:rsid w:val="004D23E0"/>
    <w:rsid w:val="004D29C4"/>
    <w:rsid w:val="004D31C5"/>
    <w:rsid w:val="004D3431"/>
    <w:rsid w:val="004D34E3"/>
    <w:rsid w:val="004D34F7"/>
    <w:rsid w:val="004D3596"/>
    <w:rsid w:val="004D39FB"/>
    <w:rsid w:val="004D3AEE"/>
    <w:rsid w:val="004D3CE0"/>
    <w:rsid w:val="004D3D3A"/>
    <w:rsid w:val="004D425C"/>
    <w:rsid w:val="004D4E41"/>
    <w:rsid w:val="004D55E5"/>
    <w:rsid w:val="004D5E41"/>
    <w:rsid w:val="004D5FD5"/>
    <w:rsid w:val="004D728C"/>
    <w:rsid w:val="004E00D2"/>
    <w:rsid w:val="004E016F"/>
    <w:rsid w:val="004E04B6"/>
    <w:rsid w:val="004E052B"/>
    <w:rsid w:val="004E06C1"/>
    <w:rsid w:val="004E12AE"/>
    <w:rsid w:val="004E15A8"/>
    <w:rsid w:val="004E15E4"/>
    <w:rsid w:val="004E193F"/>
    <w:rsid w:val="004E19C8"/>
    <w:rsid w:val="004E26F0"/>
    <w:rsid w:val="004E285C"/>
    <w:rsid w:val="004E3502"/>
    <w:rsid w:val="004E3CB0"/>
    <w:rsid w:val="004E3CF0"/>
    <w:rsid w:val="004E3DAA"/>
    <w:rsid w:val="004E442D"/>
    <w:rsid w:val="004E4993"/>
    <w:rsid w:val="004E4E80"/>
    <w:rsid w:val="004E555B"/>
    <w:rsid w:val="004E5E6D"/>
    <w:rsid w:val="004E65D3"/>
    <w:rsid w:val="004E6606"/>
    <w:rsid w:val="004E68E5"/>
    <w:rsid w:val="004E709D"/>
    <w:rsid w:val="004E764F"/>
    <w:rsid w:val="004E7998"/>
    <w:rsid w:val="004E7B84"/>
    <w:rsid w:val="004E7C5C"/>
    <w:rsid w:val="004E7EC7"/>
    <w:rsid w:val="004E7ED8"/>
    <w:rsid w:val="004F030C"/>
    <w:rsid w:val="004F0665"/>
    <w:rsid w:val="004F166D"/>
    <w:rsid w:val="004F197F"/>
    <w:rsid w:val="004F1D78"/>
    <w:rsid w:val="004F1F20"/>
    <w:rsid w:val="004F26AA"/>
    <w:rsid w:val="004F2902"/>
    <w:rsid w:val="004F2950"/>
    <w:rsid w:val="004F2CEA"/>
    <w:rsid w:val="004F30CD"/>
    <w:rsid w:val="004F3D95"/>
    <w:rsid w:val="004F4195"/>
    <w:rsid w:val="004F4A2E"/>
    <w:rsid w:val="004F54AC"/>
    <w:rsid w:val="004F56CB"/>
    <w:rsid w:val="004F5DE7"/>
    <w:rsid w:val="004F6B38"/>
    <w:rsid w:val="004F6EE4"/>
    <w:rsid w:val="004F71C8"/>
    <w:rsid w:val="004F7233"/>
    <w:rsid w:val="004F747F"/>
    <w:rsid w:val="004F7D37"/>
    <w:rsid w:val="00500427"/>
    <w:rsid w:val="005008C6"/>
    <w:rsid w:val="00500916"/>
    <w:rsid w:val="00501097"/>
    <w:rsid w:val="00501257"/>
    <w:rsid w:val="0050189E"/>
    <w:rsid w:val="00501B2C"/>
    <w:rsid w:val="00501F18"/>
    <w:rsid w:val="00503093"/>
    <w:rsid w:val="00503378"/>
    <w:rsid w:val="0050498C"/>
    <w:rsid w:val="00504E8E"/>
    <w:rsid w:val="00506204"/>
    <w:rsid w:val="005065C1"/>
    <w:rsid w:val="005067A5"/>
    <w:rsid w:val="005068C3"/>
    <w:rsid w:val="00506B5A"/>
    <w:rsid w:val="00506C20"/>
    <w:rsid w:val="00506E99"/>
    <w:rsid w:val="005076B4"/>
    <w:rsid w:val="00507A23"/>
    <w:rsid w:val="00507ABF"/>
    <w:rsid w:val="005102A1"/>
    <w:rsid w:val="00510377"/>
    <w:rsid w:val="005107AE"/>
    <w:rsid w:val="00510A5D"/>
    <w:rsid w:val="00510A74"/>
    <w:rsid w:val="00510AAC"/>
    <w:rsid w:val="0051130E"/>
    <w:rsid w:val="0051135B"/>
    <w:rsid w:val="005113DA"/>
    <w:rsid w:val="00511755"/>
    <w:rsid w:val="00511ABE"/>
    <w:rsid w:val="00512C11"/>
    <w:rsid w:val="00512EDD"/>
    <w:rsid w:val="00512F77"/>
    <w:rsid w:val="00513529"/>
    <w:rsid w:val="005136CA"/>
    <w:rsid w:val="00513E8A"/>
    <w:rsid w:val="00514605"/>
    <w:rsid w:val="005149FA"/>
    <w:rsid w:val="0051512E"/>
    <w:rsid w:val="00515193"/>
    <w:rsid w:val="0051527A"/>
    <w:rsid w:val="00515D5F"/>
    <w:rsid w:val="00516770"/>
    <w:rsid w:val="00516B1F"/>
    <w:rsid w:val="00517D30"/>
    <w:rsid w:val="00520005"/>
    <w:rsid w:val="00520141"/>
    <w:rsid w:val="00520245"/>
    <w:rsid w:val="005202B9"/>
    <w:rsid w:val="00520655"/>
    <w:rsid w:val="0052069E"/>
    <w:rsid w:val="005209BC"/>
    <w:rsid w:val="00522C15"/>
    <w:rsid w:val="005230B1"/>
    <w:rsid w:val="00523691"/>
    <w:rsid w:val="005236C0"/>
    <w:rsid w:val="005248C4"/>
    <w:rsid w:val="00525772"/>
    <w:rsid w:val="005261C7"/>
    <w:rsid w:val="005261D2"/>
    <w:rsid w:val="00526C8F"/>
    <w:rsid w:val="005273A6"/>
    <w:rsid w:val="005275CB"/>
    <w:rsid w:val="00527CAF"/>
    <w:rsid w:val="00527E81"/>
    <w:rsid w:val="0052933F"/>
    <w:rsid w:val="00530A65"/>
    <w:rsid w:val="00530E00"/>
    <w:rsid w:val="00530F37"/>
    <w:rsid w:val="005312AA"/>
    <w:rsid w:val="0053170A"/>
    <w:rsid w:val="005317A2"/>
    <w:rsid w:val="00531900"/>
    <w:rsid w:val="00531A9A"/>
    <w:rsid w:val="00531FB4"/>
    <w:rsid w:val="005325F6"/>
    <w:rsid w:val="00532991"/>
    <w:rsid w:val="005330CB"/>
    <w:rsid w:val="005336CE"/>
    <w:rsid w:val="00533DEA"/>
    <w:rsid w:val="00534367"/>
    <w:rsid w:val="0053495B"/>
    <w:rsid w:val="00534BEF"/>
    <w:rsid w:val="00535768"/>
    <w:rsid w:val="00535808"/>
    <w:rsid w:val="00535F8B"/>
    <w:rsid w:val="00536427"/>
    <w:rsid w:val="00536462"/>
    <w:rsid w:val="005364A9"/>
    <w:rsid w:val="00536C11"/>
    <w:rsid w:val="00536CB0"/>
    <w:rsid w:val="00536E1C"/>
    <w:rsid w:val="00536F9F"/>
    <w:rsid w:val="00537155"/>
    <w:rsid w:val="00537C96"/>
    <w:rsid w:val="005401AA"/>
    <w:rsid w:val="0054020C"/>
    <w:rsid w:val="005402FC"/>
    <w:rsid w:val="005405F3"/>
    <w:rsid w:val="00540695"/>
    <w:rsid w:val="00540775"/>
    <w:rsid w:val="00540B88"/>
    <w:rsid w:val="00540D00"/>
    <w:rsid w:val="00540D98"/>
    <w:rsid w:val="00540EB7"/>
    <w:rsid w:val="0054125B"/>
    <w:rsid w:val="00541934"/>
    <w:rsid w:val="00541BEC"/>
    <w:rsid w:val="00541C6A"/>
    <w:rsid w:val="00541D56"/>
    <w:rsid w:val="00542220"/>
    <w:rsid w:val="005427EA"/>
    <w:rsid w:val="00542D1B"/>
    <w:rsid w:val="005430ED"/>
    <w:rsid w:val="005433B2"/>
    <w:rsid w:val="0054357F"/>
    <w:rsid w:val="0054439E"/>
    <w:rsid w:val="00544D5F"/>
    <w:rsid w:val="00545753"/>
    <w:rsid w:val="00545936"/>
    <w:rsid w:val="00545D98"/>
    <w:rsid w:val="00546158"/>
    <w:rsid w:val="00546207"/>
    <w:rsid w:val="005463A5"/>
    <w:rsid w:val="00546D79"/>
    <w:rsid w:val="00547494"/>
    <w:rsid w:val="0054767E"/>
    <w:rsid w:val="005477D7"/>
    <w:rsid w:val="00547B0C"/>
    <w:rsid w:val="00547BEA"/>
    <w:rsid w:val="005505E4"/>
    <w:rsid w:val="00550D88"/>
    <w:rsid w:val="00550EFF"/>
    <w:rsid w:val="00550FE3"/>
    <w:rsid w:val="005516CE"/>
    <w:rsid w:val="005519EC"/>
    <w:rsid w:val="00551A31"/>
    <w:rsid w:val="00551AB7"/>
    <w:rsid w:val="00552148"/>
    <w:rsid w:val="005522F1"/>
    <w:rsid w:val="00552CA9"/>
    <w:rsid w:val="00552D3B"/>
    <w:rsid w:val="005532C3"/>
    <w:rsid w:val="00553BFF"/>
    <w:rsid w:val="0055435B"/>
    <w:rsid w:val="0055483C"/>
    <w:rsid w:val="00554841"/>
    <w:rsid w:val="0055489D"/>
    <w:rsid w:val="005548A3"/>
    <w:rsid w:val="0055576E"/>
    <w:rsid w:val="0055577D"/>
    <w:rsid w:val="00555D66"/>
    <w:rsid w:val="00555EBB"/>
    <w:rsid w:val="005560AA"/>
    <w:rsid w:val="00556774"/>
    <w:rsid w:val="005567C3"/>
    <w:rsid w:val="00556831"/>
    <w:rsid w:val="0055683F"/>
    <w:rsid w:val="00556B14"/>
    <w:rsid w:val="005575B8"/>
    <w:rsid w:val="005578C6"/>
    <w:rsid w:val="00560AD2"/>
    <w:rsid w:val="00560C67"/>
    <w:rsid w:val="00560F15"/>
    <w:rsid w:val="00561570"/>
    <w:rsid w:val="005618D0"/>
    <w:rsid w:val="00561F60"/>
    <w:rsid w:val="005625B8"/>
    <w:rsid w:val="00562657"/>
    <w:rsid w:val="005627EB"/>
    <w:rsid w:val="00562927"/>
    <w:rsid w:val="005629F8"/>
    <w:rsid w:val="00562AF5"/>
    <w:rsid w:val="00562D1C"/>
    <w:rsid w:val="00562EE8"/>
    <w:rsid w:val="005634BE"/>
    <w:rsid w:val="0056396E"/>
    <w:rsid w:val="00563B08"/>
    <w:rsid w:val="00563B50"/>
    <w:rsid w:val="00564490"/>
    <w:rsid w:val="005648CB"/>
    <w:rsid w:val="00564D15"/>
    <w:rsid w:val="00564DB6"/>
    <w:rsid w:val="00564EE5"/>
    <w:rsid w:val="005656A9"/>
    <w:rsid w:val="005657D8"/>
    <w:rsid w:val="005660B3"/>
    <w:rsid w:val="005667FF"/>
    <w:rsid w:val="00566828"/>
    <w:rsid w:val="00566D2D"/>
    <w:rsid w:val="00566FAB"/>
    <w:rsid w:val="00567EB7"/>
    <w:rsid w:val="00570030"/>
    <w:rsid w:val="00570196"/>
    <w:rsid w:val="005701FA"/>
    <w:rsid w:val="005704B6"/>
    <w:rsid w:val="0057099E"/>
    <w:rsid w:val="00570A01"/>
    <w:rsid w:val="00570B1A"/>
    <w:rsid w:val="00570CC9"/>
    <w:rsid w:val="0057108C"/>
    <w:rsid w:val="005716C2"/>
    <w:rsid w:val="005717DE"/>
    <w:rsid w:val="00571AF0"/>
    <w:rsid w:val="00571CA9"/>
    <w:rsid w:val="005720C2"/>
    <w:rsid w:val="005722C1"/>
    <w:rsid w:val="00572687"/>
    <w:rsid w:val="00572974"/>
    <w:rsid w:val="00572B09"/>
    <w:rsid w:val="00572CC6"/>
    <w:rsid w:val="00572CE2"/>
    <w:rsid w:val="00572EBC"/>
    <w:rsid w:val="00572F6F"/>
    <w:rsid w:val="005730E3"/>
    <w:rsid w:val="0057356B"/>
    <w:rsid w:val="00573731"/>
    <w:rsid w:val="00573771"/>
    <w:rsid w:val="00573863"/>
    <w:rsid w:val="00573929"/>
    <w:rsid w:val="00573981"/>
    <w:rsid w:val="005740D4"/>
    <w:rsid w:val="005742A3"/>
    <w:rsid w:val="0057451B"/>
    <w:rsid w:val="00575060"/>
    <w:rsid w:val="005759A2"/>
    <w:rsid w:val="00576124"/>
    <w:rsid w:val="005769C7"/>
    <w:rsid w:val="00576AD1"/>
    <w:rsid w:val="00576AEE"/>
    <w:rsid w:val="00576C74"/>
    <w:rsid w:val="00576CE3"/>
    <w:rsid w:val="00576EC2"/>
    <w:rsid w:val="005775EF"/>
    <w:rsid w:val="005778FA"/>
    <w:rsid w:val="00577A16"/>
    <w:rsid w:val="00577C33"/>
    <w:rsid w:val="00577D3D"/>
    <w:rsid w:val="005802C7"/>
    <w:rsid w:val="0058047F"/>
    <w:rsid w:val="005808E9"/>
    <w:rsid w:val="00581021"/>
    <w:rsid w:val="00581707"/>
    <w:rsid w:val="00582222"/>
    <w:rsid w:val="005825DF"/>
    <w:rsid w:val="00582897"/>
    <w:rsid w:val="00582DAE"/>
    <w:rsid w:val="00582E43"/>
    <w:rsid w:val="00583182"/>
    <w:rsid w:val="005831CC"/>
    <w:rsid w:val="005835CE"/>
    <w:rsid w:val="005839BA"/>
    <w:rsid w:val="005839DC"/>
    <w:rsid w:val="005853AC"/>
    <w:rsid w:val="0058565E"/>
    <w:rsid w:val="00585749"/>
    <w:rsid w:val="00585963"/>
    <w:rsid w:val="00585D53"/>
    <w:rsid w:val="00585E93"/>
    <w:rsid w:val="00585EAE"/>
    <w:rsid w:val="0058660A"/>
    <w:rsid w:val="00586871"/>
    <w:rsid w:val="0058699F"/>
    <w:rsid w:val="00586CA4"/>
    <w:rsid w:val="0058740D"/>
    <w:rsid w:val="00587617"/>
    <w:rsid w:val="00587725"/>
    <w:rsid w:val="00587897"/>
    <w:rsid w:val="00587A7D"/>
    <w:rsid w:val="0059030E"/>
    <w:rsid w:val="005926E1"/>
    <w:rsid w:val="00592A27"/>
    <w:rsid w:val="00592AA8"/>
    <w:rsid w:val="00592AF2"/>
    <w:rsid w:val="00592D6F"/>
    <w:rsid w:val="005930B1"/>
    <w:rsid w:val="00593161"/>
    <w:rsid w:val="005937CA"/>
    <w:rsid w:val="00593A4A"/>
    <w:rsid w:val="00593C20"/>
    <w:rsid w:val="00594017"/>
    <w:rsid w:val="00594302"/>
    <w:rsid w:val="00594BC7"/>
    <w:rsid w:val="00594DA1"/>
    <w:rsid w:val="00595A6E"/>
    <w:rsid w:val="00595C1F"/>
    <w:rsid w:val="0059624E"/>
    <w:rsid w:val="0059625C"/>
    <w:rsid w:val="005968F4"/>
    <w:rsid w:val="00596D9C"/>
    <w:rsid w:val="00597394"/>
    <w:rsid w:val="00597612"/>
    <w:rsid w:val="005976CC"/>
    <w:rsid w:val="0059787E"/>
    <w:rsid w:val="00597CF4"/>
    <w:rsid w:val="005A011D"/>
    <w:rsid w:val="005A01C4"/>
    <w:rsid w:val="005A04D0"/>
    <w:rsid w:val="005A0774"/>
    <w:rsid w:val="005A0793"/>
    <w:rsid w:val="005A0FFB"/>
    <w:rsid w:val="005A100B"/>
    <w:rsid w:val="005A10C4"/>
    <w:rsid w:val="005A1EE8"/>
    <w:rsid w:val="005A23E7"/>
    <w:rsid w:val="005A2A38"/>
    <w:rsid w:val="005A2E58"/>
    <w:rsid w:val="005A3755"/>
    <w:rsid w:val="005A48D2"/>
    <w:rsid w:val="005A5097"/>
    <w:rsid w:val="005A51A0"/>
    <w:rsid w:val="005A58FA"/>
    <w:rsid w:val="005A5C38"/>
    <w:rsid w:val="005A6118"/>
    <w:rsid w:val="005A645A"/>
    <w:rsid w:val="005A6F02"/>
    <w:rsid w:val="005A6F71"/>
    <w:rsid w:val="005A70EC"/>
    <w:rsid w:val="005A785D"/>
    <w:rsid w:val="005A7B9B"/>
    <w:rsid w:val="005B002B"/>
    <w:rsid w:val="005B008D"/>
    <w:rsid w:val="005B013F"/>
    <w:rsid w:val="005B0350"/>
    <w:rsid w:val="005B0561"/>
    <w:rsid w:val="005B05D5"/>
    <w:rsid w:val="005B1796"/>
    <w:rsid w:val="005B2F8C"/>
    <w:rsid w:val="005B327C"/>
    <w:rsid w:val="005B363F"/>
    <w:rsid w:val="005B3785"/>
    <w:rsid w:val="005B37A0"/>
    <w:rsid w:val="005B3B07"/>
    <w:rsid w:val="005B4508"/>
    <w:rsid w:val="005B466F"/>
    <w:rsid w:val="005B49D5"/>
    <w:rsid w:val="005B4A8E"/>
    <w:rsid w:val="005B4CA6"/>
    <w:rsid w:val="005B539C"/>
    <w:rsid w:val="005B566E"/>
    <w:rsid w:val="005B56A3"/>
    <w:rsid w:val="005B5CD9"/>
    <w:rsid w:val="005B5D50"/>
    <w:rsid w:val="005B6195"/>
    <w:rsid w:val="005B6521"/>
    <w:rsid w:val="005B6D8C"/>
    <w:rsid w:val="005B6DEA"/>
    <w:rsid w:val="005B76AD"/>
    <w:rsid w:val="005B77CC"/>
    <w:rsid w:val="005B7840"/>
    <w:rsid w:val="005B7AE8"/>
    <w:rsid w:val="005C0A8B"/>
    <w:rsid w:val="005C0F8E"/>
    <w:rsid w:val="005C1937"/>
    <w:rsid w:val="005C2ED2"/>
    <w:rsid w:val="005C2FF9"/>
    <w:rsid w:val="005C3FED"/>
    <w:rsid w:val="005C4299"/>
    <w:rsid w:val="005C4442"/>
    <w:rsid w:val="005C48FE"/>
    <w:rsid w:val="005C4CED"/>
    <w:rsid w:val="005C50DA"/>
    <w:rsid w:val="005C50F1"/>
    <w:rsid w:val="005C58A5"/>
    <w:rsid w:val="005C5AF1"/>
    <w:rsid w:val="005C5DEE"/>
    <w:rsid w:val="005C618A"/>
    <w:rsid w:val="005C632B"/>
    <w:rsid w:val="005C67E3"/>
    <w:rsid w:val="005C6816"/>
    <w:rsid w:val="005C6B95"/>
    <w:rsid w:val="005C6CDA"/>
    <w:rsid w:val="005C6E10"/>
    <w:rsid w:val="005C6E95"/>
    <w:rsid w:val="005C6EB4"/>
    <w:rsid w:val="005C6F62"/>
    <w:rsid w:val="005C6FFB"/>
    <w:rsid w:val="005C7A09"/>
    <w:rsid w:val="005C7D9F"/>
    <w:rsid w:val="005C7E1E"/>
    <w:rsid w:val="005C7E4E"/>
    <w:rsid w:val="005C7FA2"/>
    <w:rsid w:val="005D013B"/>
    <w:rsid w:val="005D01B3"/>
    <w:rsid w:val="005D03A7"/>
    <w:rsid w:val="005D045D"/>
    <w:rsid w:val="005D0834"/>
    <w:rsid w:val="005D08D3"/>
    <w:rsid w:val="005D0D34"/>
    <w:rsid w:val="005D1203"/>
    <w:rsid w:val="005D166D"/>
    <w:rsid w:val="005D1675"/>
    <w:rsid w:val="005D230E"/>
    <w:rsid w:val="005D29D9"/>
    <w:rsid w:val="005D2E67"/>
    <w:rsid w:val="005D3205"/>
    <w:rsid w:val="005D337D"/>
    <w:rsid w:val="005D38FA"/>
    <w:rsid w:val="005D3C8D"/>
    <w:rsid w:val="005D4770"/>
    <w:rsid w:val="005D4807"/>
    <w:rsid w:val="005D4A45"/>
    <w:rsid w:val="005D53CE"/>
    <w:rsid w:val="005D5947"/>
    <w:rsid w:val="005D59A4"/>
    <w:rsid w:val="005D5EF9"/>
    <w:rsid w:val="005D646B"/>
    <w:rsid w:val="005D6986"/>
    <w:rsid w:val="005D6F64"/>
    <w:rsid w:val="005D7148"/>
    <w:rsid w:val="005D75B7"/>
    <w:rsid w:val="005D75FE"/>
    <w:rsid w:val="005D76AF"/>
    <w:rsid w:val="005D76E1"/>
    <w:rsid w:val="005D7AAE"/>
    <w:rsid w:val="005D7AD9"/>
    <w:rsid w:val="005E043F"/>
    <w:rsid w:val="005E05ED"/>
    <w:rsid w:val="005E0636"/>
    <w:rsid w:val="005E063D"/>
    <w:rsid w:val="005E1269"/>
    <w:rsid w:val="005E1A50"/>
    <w:rsid w:val="005E2134"/>
    <w:rsid w:val="005E2549"/>
    <w:rsid w:val="005E2678"/>
    <w:rsid w:val="005E2912"/>
    <w:rsid w:val="005E2F2D"/>
    <w:rsid w:val="005E31F4"/>
    <w:rsid w:val="005E3315"/>
    <w:rsid w:val="005E3BDE"/>
    <w:rsid w:val="005E3EFB"/>
    <w:rsid w:val="005E4055"/>
    <w:rsid w:val="005E43DA"/>
    <w:rsid w:val="005E4471"/>
    <w:rsid w:val="005E4499"/>
    <w:rsid w:val="005E5326"/>
    <w:rsid w:val="005E5E42"/>
    <w:rsid w:val="005E6140"/>
    <w:rsid w:val="005E65A7"/>
    <w:rsid w:val="005E65E5"/>
    <w:rsid w:val="005E6E60"/>
    <w:rsid w:val="005E70ED"/>
    <w:rsid w:val="005E7647"/>
    <w:rsid w:val="005E7A49"/>
    <w:rsid w:val="005E7A8F"/>
    <w:rsid w:val="005E7EFC"/>
    <w:rsid w:val="005E7FEB"/>
    <w:rsid w:val="005F2043"/>
    <w:rsid w:val="005F2673"/>
    <w:rsid w:val="005F27B4"/>
    <w:rsid w:val="005F2E3D"/>
    <w:rsid w:val="005F2F6A"/>
    <w:rsid w:val="005F310D"/>
    <w:rsid w:val="005F32CB"/>
    <w:rsid w:val="005F3A1F"/>
    <w:rsid w:val="005F4250"/>
    <w:rsid w:val="005F43CF"/>
    <w:rsid w:val="005F47C0"/>
    <w:rsid w:val="005F4BD8"/>
    <w:rsid w:val="005F4E01"/>
    <w:rsid w:val="005F52A0"/>
    <w:rsid w:val="005F5326"/>
    <w:rsid w:val="005F539A"/>
    <w:rsid w:val="005F5BBA"/>
    <w:rsid w:val="005F6259"/>
    <w:rsid w:val="005F62EE"/>
    <w:rsid w:val="005F63E4"/>
    <w:rsid w:val="005F64C2"/>
    <w:rsid w:val="005F675D"/>
    <w:rsid w:val="005F69B9"/>
    <w:rsid w:val="005F6B6F"/>
    <w:rsid w:val="005F6B9A"/>
    <w:rsid w:val="005F6D3C"/>
    <w:rsid w:val="005F7412"/>
    <w:rsid w:val="005F74C7"/>
    <w:rsid w:val="0060034F"/>
    <w:rsid w:val="006003B1"/>
    <w:rsid w:val="006004F5"/>
    <w:rsid w:val="00600B6A"/>
    <w:rsid w:val="00601146"/>
    <w:rsid w:val="0060196B"/>
    <w:rsid w:val="0060250D"/>
    <w:rsid w:val="0060279A"/>
    <w:rsid w:val="006028A1"/>
    <w:rsid w:val="006029D3"/>
    <w:rsid w:val="00602A7D"/>
    <w:rsid w:val="00603233"/>
    <w:rsid w:val="006035A8"/>
    <w:rsid w:val="006038A5"/>
    <w:rsid w:val="00603E85"/>
    <w:rsid w:val="0060409F"/>
    <w:rsid w:val="0060460A"/>
    <w:rsid w:val="0060506E"/>
    <w:rsid w:val="00605186"/>
    <w:rsid w:val="006054C7"/>
    <w:rsid w:val="00605679"/>
    <w:rsid w:val="00605B19"/>
    <w:rsid w:val="00606901"/>
    <w:rsid w:val="00606AC1"/>
    <w:rsid w:val="00606C38"/>
    <w:rsid w:val="006071FA"/>
    <w:rsid w:val="00607B01"/>
    <w:rsid w:val="00607CB5"/>
    <w:rsid w:val="0061062F"/>
    <w:rsid w:val="00610857"/>
    <w:rsid w:val="006109A4"/>
    <w:rsid w:val="00610A09"/>
    <w:rsid w:val="00610D74"/>
    <w:rsid w:val="0061134D"/>
    <w:rsid w:val="006117AA"/>
    <w:rsid w:val="00611A59"/>
    <w:rsid w:val="006121C6"/>
    <w:rsid w:val="00612749"/>
    <w:rsid w:val="00612FD4"/>
    <w:rsid w:val="006134AE"/>
    <w:rsid w:val="00614489"/>
    <w:rsid w:val="00614B0B"/>
    <w:rsid w:val="00615477"/>
    <w:rsid w:val="00615CF7"/>
    <w:rsid w:val="006161E3"/>
    <w:rsid w:val="0061681C"/>
    <w:rsid w:val="0061707E"/>
    <w:rsid w:val="0061708C"/>
    <w:rsid w:val="00617685"/>
    <w:rsid w:val="006176B0"/>
    <w:rsid w:val="006179A3"/>
    <w:rsid w:val="00617A2E"/>
    <w:rsid w:val="00617F13"/>
    <w:rsid w:val="006201D8"/>
    <w:rsid w:val="00620636"/>
    <w:rsid w:val="00620668"/>
    <w:rsid w:val="00620826"/>
    <w:rsid w:val="00620D58"/>
    <w:rsid w:val="00621402"/>
    <w:rsid w:val="006218CE"/>
    <w:rsid w:val="0062190D"/>
    <w:rsid w:val="00621F2C"/>
    <w:rsid w:val="00621F73"/>
    <w:rsid w:val="006225A0"/>
    <w:rsid w:val="006228B1"/>
    <w:rsid w:val="00622BC8"/>
    <w:rsid w:val="0062311B"/>
    <w:rsid w:val="00623672"/>
    <w:rsid w:val="0062369B"/>
    <w:rsid w:val="00623DF9"/>
    <w:rsid w:val="00623EB2"/>
    <w:rsid w:val="00624B69"/>
    <w:rsid w:val="00624CC6"/>
    <w:rsid w:val="00624D4B"/>
    <w:rsid w:val="00624DBA"/>
    <w:rsid w:val="00625B71"/>
    <w:rsid w:val="00625DDD"/>
    <w:rsid w:val="00625F57"/>
    <w:rsid w:val="00626313"/>
    <w:rsid w:val="00626D2F"/>
    <w:rsid w:val="0062709E"/>
    <w:rsid w:val="0062768A"/>
    <w:rsid w:val="00627953"/>
    <w:rsid w:val="00627D18"/>
    <w:rsid w:val="00630268"/>
    <w:rsid w:val="00630467"/>
    <w:rsid w:val="0063065E"/>
    <w:rsid w:val="006310B1"/>
    <w:rsid w:val="00631657"/>
    <w:rsid w:val="00631B63"/>
    <w:rsid w:val="00631C54"/>
    <w:rsid w:val="00631DF1"/>
    <w:rsid w:val="006324ED"/>
    <w:rsid w:val="006328BA"/>
    <w:rsid w:val="0063312D"/>
    <w:rsid w:val="00633160"/>
    <w:rsid w:val="0063347C"/>
    <w:rsid w:val="00633EBE"/>
    <w:rsid w:val="00633F25"/>
    <w:rsid w:val="00633FB9"/>
    <w:rsid w:val="0063405D"/>
    <w:rsid w:val="006357A7"/>
    <w:rsid w:val="00635BF9"/>
    <w:rsid w:val="00635DD0"/>
    <w:rsid w:val="0063601D"/>
    <w:rsid w:val="006362EE"/>
    <w:rsid w:val="00636372"/>
    <w:rsid w:val="006365D7"/>
    <w:rsid w:val="00636650"/>
    <w:rsid w:val="00636A8E"/>
    <w:rsid w:val="006376CD"/>
    <w:rsid w:val="0063791D"/>
    <w:rsid w:val="00640635"/>
    <w:rsid w:val="0064067E"/>
    <w:rsid w:val="00640DB0"/>
    <w:rsid w:val="00640DE5"/>
    <w:rsid w:val="0064134B"/>
    <w:rsid w:val="00641620"/>
    <w:rsid w:val="006417BE"/>
    <w:rsid w:val="0064181F"/>
    <w:rsid w:val="0064186E"/>
    <w:rsid w:val="006419CF"/>
    <w:rsid w:val="00641C8C"/>
    <w:rsid w:val="00641F08"/>
    <w:rsid w:val="006421B2"/>
    <w:rsid w:val="006421FB"/>
    <w:rsid w:val="006426CA"/>
    <w:rsid w:val="006427AA"/>
    <w:rsid w:val="00642845"/>
    <w:rsid w:val="00642B18"/>
    <w:rsid w:val="00642D78"/>
    <w:rsid w:val="006438B0"/>
    <w:rsid w:val="00643F43"/>
    <w:rsid w:val="006446CC"/>
    <w:rsid w:val="006448A6"/>
    <w:rsid w:val="00644B78"/>
    <w:rsid w:val="00644C31"/>
    <w:rsid w:val="00644D0B"/>
    <w:rsid w:val="00645739"/>
    <w:rsid w:val="00646C8B"/>
    <w:rsid w:val="00647605"/>
    <w:rsid w:val="00647995"/>
    <w:rsid w:val="00650140"/>
    <w:rsid w:val="00650383"/>
    <w:rsid w:val="006507CC"/>
    <w:rsid w:val="00650965"/>
    <w:rsid w:val="00650A67"/>
    <w:rsid w:val="00650AAB"/>
    <w:rsid w:val="0065103A"/>
    <w:rsid w:val="00651196"/>
    <w:rsid w:val="00651328"/>
    <w:rsid w:val="0065155B"/>
    <w:rsid w:val="0065173E"/>
    <w:rsid w:val="0065190B"/>
    <w:rsid w:val="006519DF"/>
    <w:rsid w:val="006520CB"/>
    <w:rsid w:val="00652555"/>
    <w:rsid w:val="00652AF6"/>
    <w:rsid w:val="00652EC9"/>
    <w:rsid w:val="00652EF1"/>
    <w:rsid w:val="0065381F"/>
    <w:rsid w:val="006538B4"/>
    <w:rsid w:val="00653F3D"/>
    <w:rsid w:val="006540E2"/>
    <w:rsid w:val="0065410F"/>
    <w:rsid w:val="00654BD4"/>
    <w:rsid w:val="0065541D"/>
    <w:rsid w:val="00655886"/>
    <w:rsid w:val="0065671D"/>
    <w:rsid w:val="00657160"/>
    <w:rsid w:val="00657500"/>
    <w:rsid w:val="006575C8"/>
    <w:rsid w:val="006579B5"/>
    <w:rsid w:val="00657F7D"/>
    <w:rsid w:val="00660292"/>
    <w:rsid w:val="0066032B"/>
    <w:rsid w:val="006609E4"/>
    <w:rsid w:val="00660B0B"/>
    <w:rsid w:val="00660D30"/>
    <w:rsid w:val="00660DDB"/>
    <w:rsid w:val="00660E1D"/>
    <w:rsid w:val="00660E79"/>
    <w:rsid w:val="00661021"/>
    <w:rsid w:val="006610D6"/>
    <w:rsid w:val="00661189"/>
    <w:rsid w:val="006616F9"/>
    <w:rsid w:val="00661B6C"/>
    <w:rsid w:val="0066248C"/>
    <w:rsid w:val="006625E3"/>
    <w:rsid w:val="00663C04"/>
    <w:rsid w:val="0066463D"/>
    <w:rsid w:val="0066467A"/>
    <w:rsid w:val="00664999"/>
    <w:rsid w:val="00664AC9"/>
    <w:rsid w:val="00664BDE"/>
    <w:rsid w:val="00664D37"/>
    <w:rsid w:val="00664DEB"/>
    <w:rsid w:val="0066500F"/>
    <w:rsid w:val="00665170"/>
    <w:rsid w:val="006655D7"/>
    <w:rsid w:val="006656FE"/>
    <w:rsid w:val="00665E1F"/>
    <w:rsid w:val="00666C88"/>
    <w:rsid w:val="0066736F"/>
    <w:rsid w:val="00667C13"/>
    <w:rsid w:val="00667F8A"/>
    <w:rsid w:val="006703B4"/>
    <w:rsid w:val="006704A0"/>
    <w:rsid w:val="00670B08"/>
    <w:rsid w:val="00670E4D"/>
    <w:rsid w:val="006711FB"/>
    <w:rsid w:val="006720B7"/>
    <w:rsid w:val="00672609"/>
    <w:rsid w:val="006734AC"/>
    <w:rsid w:val="00673C61"/>
    <w:rsid w:val="00673C7E"/>
    <w:rsid w:val="00674697"/>
    <w:rsid w:val="0067487C"/>
    <w:rsid w:val="00674984"/>
    <w:rsid w:val="00674C50"/>
    <w:rsid w:val="00675035"/>
    <w:rsid w:val="0067530C"/>
    <w:rsid w:val="006753DF"/>
    <w:rsid w:val="00676076"/>
    <w:rsid w:val="006762D4"/>
    <w:rsid w:val="00676716"/>
    <w:rsid w:val="006767D9"/>
    <w:rsid w:val="00676F65"/>
    <w:rsid w:val="006770C5"/>
    <w:rsid w:val="006770E7"/>
    <w:rsid w:val="00677510"/>
    <w:rsid w:val="00677BEF"/>
    <w:rsid w:val="00677D18"/>
    <w:rsid w:val="00680F67"/>
    <w:rsid w:val="0068158A"/>
    <w:rsid w:val="006817AB"/>
    <w:rsid w:val="00682383"/>
    <w:rsid w:val="006826CC"/>
    <w:rsid w:val="00682D30"/>
    <w:rsid w:val="00682DE5"/>
    <w:rsid w:val="00684D91"/>
    <w:rsid w:val="006855C8"/>
    <w:rsid w:val="00685897"/>
    <w:rsid w:val="00686C54"/>
    <w:rsid w:val="00686C8D"/>
    <w:rsid w:val="00687564"/>
    <w:rsid w:val="00690728"/>
    <w:rsid w:val="006909CF"/>
    <w:rsid w:val="00690A09"/>
    <w:rsid w:val="006912AE"/>
    <w:rsid w:val="006915E9"/>
    <w:rsid w:val="0069190D"/>
    <w:rsid w:val="00691C58"/>
    <w:rsid w:val="00691D9B"/>
    <w:rsid w:val="0069234E"/>
    <w:rsid w:val="00692BCC"/>
    <w:rsid w:val="00693148"/>
    <w:rsid w:val="006932C4"/>
    <w:rsid w:val="00694192"/>
    <w:rsid w:val="00694247"/>
    <w:rsid w:val="006944E6"/>
    <w:rsid w:val="006944E7"/>
    <w:rsid w:val="0069463E"/>
    <w:rsid w:val="006953F8"/>
    <w:rsid w:val="0069541C"/>
    <w:rsid w:val="00696578"/>
    <w:rsid w:val="00696E78"/>
    <w:rsid w:val="00696F00"/>
    <w:rsid w:val="00696FD2"/>
    <w:rsid w:val="0069711D"/>
    <w:rsid w:val="006975B9"/>
    <w:rsid w:val="0069768B"/>
    <w:rsid w:val="006977D9"/>
    <w:rsid w:val="0069785F"/>
    <w:rsid w:val="00697EE3"/>
    <w:rsid w:val="006A0729"/>
    <w:rsid w:val="006A09BC"/>
    <w:rsid w:val="006A0CF1"/>
    <w:rsid w:val="006A1069"/>
    <w:rsid w:val="006A1802"/>
    <w:rsid w:val="006A2576"/>
    <w:rsid w:val="006A29CA"/>
    <w:rsid w:val="006A29F3"/>
    <w:rsid w:val="006A2BDE"/>
    <w:rsid w:val="006A4794"/>
    <w:rsid w:val="006A4809"/>
    <w:rsid w:val="006A4C3B"/>
    <w:rsid w:val="006A4D40"/>
    <w:rsid w:val="006A648B"/>
    <w:rsid w:val="006A6949"/>
    <w:rsid w:val="006A7017"/>
    <w:rsid w:val="006A7136"/>
    <w:rsid w:val="006A72A7"/>
    <w:rsid w:val="006B04C5"/>
    <w:rsid w:val="006B0A2A"/>
    <w:rsid w:val="006B0BF0"/>
    <w:rsid w:val="006B11F1"/>
    <w:rsid w:val="006B1898"/>
    <w:rsid w:val="006B1EAB"/>
    <w:rsid w:val="006B247E"/>
    <w:rsid w:val="006B297F"/>
    <w:rsid w:val="006B2E4A"/>
    <w:rsid w:val="006B3F4C"/>
    <w:rsid w:val="006B423B"/>
    <w:rsid w:val="006B44B9"/>
    <w:rsid w:val="006B44EB"/>
    <w:rsid w:val="006B4D20"/>
    <w:rsid w:val="006B4E65"/>
    <w:rsid w:val="006B6853"/>
    <w:rsid w:val="006B6FEA"/>
    <w:rsid w:val="006B74FC"/>
    <w:rsid w:val="006B772F"/>
    <w:rsid w:val="006B7D8C"/>
    <w:rsid w:val="006B7D97"/>
    <w:rsid w:val="006B7FBE"/>
    <w:rsid w:val="006C01EB"/>
    <w:rsid w:val="006C05D7"/>
    <w:rsid w:val="006C0680"/>
    <w:rsid w:val="006C0EDA"/>
    <w:rsid w:val="006C0F8D"/>
    <w:rsid w:val="006C1096"/>
    <w:rsid w:val="006C10A6"/>
    <w:rsid w:val="006C12A4"/>
    <w:rsid w:val="006C1C1A"/>
    <w:rsid w:val="006C1FC9"/>
    <w:rsid w:val="006C29E3"/>
    <w:rsid w:val="006C2ED4"/>
    <w:rsid w:val="006C3031"/>
    <w:rsid w:val="006C3C83"/>
    <w:rsid w:val="006C3D47"/>
    <w:rsid w:val="006C3DFF"/>
    <w:rsid w:val="006C3E63"/>
    <w:rsid w:val="006C4492"/>
    <w:rsid w:val="006C44AD"/>
    <w:rsid w:val="006C46E6"/>
    <w:rsid w:val="006C4886"/>
    <w:rsid w:val="006C492D"/>
    <w:rsid w:val="006C59C5"/>
    <w:rsid w:val="006C5FD1"/>
    <w:rsid w:val="006C7064"/>
    <w:rsid w:val="006C7ECD"/>
    <w:rsid w:val="006C7F26"/>
    <w:rsid w:val="006D0061"/>
    <w:rsid w:val="006D0697"/>
    <w:rsid w:val="006D0C77"/>
    <w:rsid w:val="006D1124"/>
    <w:rsid w:val="006D1237"/>
    <w:rsid w:val="006D1629"/>
    <w:rsid w:val="006D1747"/>
    <w:rsid w:val="006D1B2A"/>
    <w:rsid w:val="006D1B8A"/>
    <w:rsid w:val="006D20C2"/>
    <w:rsid w:val="006D235E"/>
    <w:rsid w:val="006D24D4"/>
    <w:rsid w:val="006D26A4"/>
    <w:rsid w:val="006D2858"/>
    <w:rsid w:val="006D2B74"/>
    <w:rsid w:val="006D2C59"/>
    <w:rsid w:val="006D323D"/>
    <w:rsid w:val="006D36D2"/>
    <w:rsid w:val="006D3E5B"/>
    <w:rsid w:val="006D4687"/>
    <w:rsid w:val="006D48B8"/>
    <w:rsid w:val="006D494A"/>
    <w:rsid w:val="006D5E04"/>
    <w:rsid w:val="006D5E0E"/>
    <w:rsid w:val="006D5E90"/>
    <w:rsid w:val="006D5FC8"/>
    <w:rsid w:val="006D63B3"/>
    <w:rsid w:val="006D6E91"/>
    <w:rsid w:val="006D75D8"/>
    <w:rsid w:val="006E038A"/>
    <w:rsid w:val="006E0DFB"/>
    <w:rsid w:val="006E140D"/>
    <w:rsid w:val="006E1426"/>
    <w:rsid w:val="006E15AD"/>
    <w:rsid w:val="006E1992"/>
    <w:rsid w:val="006E1E44"/>
    <w:rsid w:val="006E21B8"/>
    <w:rsid w:val="006E2475"/>
    <w:rsid w:val="006E274C"/>
    <w:rsid w:val="006E29A8"/>
    <w:rsid w:val="006E2CF0"/>
    <w:rsid w:val="006E2DCB"/>
    <w:rsid w:val="006E2F4C"/>
    <w:rsid w:val="006E3339"/>
    <w:rsid w:val="006E3C94"/>
    <w:rsid w:val="006E3D19"/>
    <w:rsid w:val="006E4371"/>
    <w:rsid w:val="006E4444"/>
    <w:rsid w:val="006E4563"/>
    <w:rsid w:val="006E4A43"/>
    <w:rsid w:val="006E5826"/>
    <w:rsid w:val="006E5997"/>
    <w:rsid w:val="006E5A19"/>
    <w:rsid w:val="006E5F3C"/>
    <w:rsid w:val="006E62E9"/>
    <w:rsid w:val="006E6F4A"/>
    <w:rsid w:val="006E74CA"/>
    <w:rsid w:val="006E789A"/>
    <w:rsid w:val="006E7ACD"/>
    <w:rsid w:val="006F005D"/>
    <w:rsid w:val="006F07B4"/>
    <w:rsid w:val="006F0AD2"/>
    <w:rsid w:val="006F0BF6"/>
    <w:rsid w:val="006F0DEB"/>
    <w:rsid w:val="006F0F54"/>
    <w:rsid w:val="006F100A"/>
    <w:rsid w:val="006F1327"/>
    <w:rsid w:val="006F1757"/>
    <w:rsid w:val="006F18A1"/>
    <w:rsid w:val="006F1B4D"/>
    <w:rsid w:val="006F1F36"/>
    <w:rsid w:val="006F2E74"/>
    <w:rsid w:val="006F39C3"/>
    <w:rsid w:val="006F4129"/>
    <w:rsid w:val="006F43CE"/>
    <w:rsid w:val="006F4692"/>
    <w:rsid w:val="006F48DF"/>
    <w:rsid w:val="006F4A95"/>
    <w:rsid w:val="006F4E6C"/>
    <w:rsid w:val="006F4FB8"/>
    <w:rsid w:val="006F4FF9"/>
    <w:rsid w:val="006F5096"/>
    <w:rsid w:val="006F58AD"/>
    <w:rsid w:val="006F629B"/>
    <w:rsid w:val="006F6629"/>
    <w:rsid w:val="006F694B"/>
    <w:rsid w:val="006F6F12"/>
    <w:rsid w:val="006F71CA"/>
    <w:rsid w:val="006F78A5"/>
    <w:rsid w:val="006F7B6D"/>
    <w:rsid w:val="006F7CA8"/>
    <w:rsid w:val="006F7F3A"/>
    <w:rsid w:val="0070040A"/>
    <w:rsid w:val="00700E79"/>
    <w:rsid w:val="0070208C"/>
    <w:rsid w:val="00702761"/>
    <w:rsid w:val="00702E87"/>
    <w:rsid w:val="00703A9F"/>
    <w:rsid w:val="00704596"/>
    <w:rsid w:val="007048B9"/>
    <w:rsid w:val="00704DE4"/>
    <w:rsid w:val="00704F48"/>
    <w:rsid w:val="007054B1"/>
    <w:rsid w:val="00705529"/>
    <w:rsid w:val="00705545"/>
    <w:rsid w:val="007056D6"/>
    <w:rsid w:val="00705711"/>
    <w:rsid w:val="00705AD1"/>
    <w:rsid w:val="00705C54"/>
    <w:rsid w:val="0070669D"/>
    <w:rsid w:val="00706CB1"/>
    <w:rsid w:val="007070B2"/>
    <w:rsid w:val="00707427"/>
    <w:rsid w:val="007078D0"/>
    <w:rsid w:val="007078EA"/>
    <w:rsid w:val="00707C49"/>
    <w:rsid w:val="007105AB"/>
    <w:rsid w:val="007110B4"/>
    <w:rsid w:val="0071124C"/>
    <w:rsid w:val="007118EF"/>
    <w:rsid w:val="0071195D"/>
    <w:rsid w:val="00711A2D"/>
    <w:rsid w:val="00711CDE"/>
    <w:rsid w:val="00712449"/>
    <w:rsid w:val="00712503"/>
    <w:rsid w:val="007129A3"/>
    <w:rsid w:val="00713110"/>
    <w:rsid w:val="00713111"/>
    <w:rsid w:val="0071336D"/>
    <w:rsid w:val="00713552"/>
    <w:rsid w:val="0071366B"/>
    <w:rsid w:val="007136DE"/>
    <w:rsid w:val="00713FBC"/>
    <w:rsid w:val="00714C73"/>
    <w:rsid w:val="0071533A"/>
    <w:rsid w:val="00715AA9"/>
    <w:rsid w:val="00715D91"/>
    <w:rsid w:val="00715E86"/>
    <w:rsid w:val="00715FA9"/>
    <w:rsid w:val="007160C4"/>
    <w:rsid w:val="007164BA"/>
    <w:rsid w:val="00716975"/>
    <w:rsid w:val="00716F0A"/>
    <w:rsid w:val="007177DA"/>
    <w:rsid w:val="007178B2"/>
    <w:rsid w:val="00720086"/>
    <w:rsid w:val="00720C1F"/>
    <w:rsid w:val="00720E4D"/>
    <w:rsid w:val="00721073"/>
    <w:rsid w:val="007211AA"/>
    <w:rsid w:val="007214FF"/>
    <w:rsid w:val="00722089"/>
    <w:rsid w:val="0072219A"/>
    <w:rsid w:val="00722D86"/>
    <w:rsid w:val="0072316B"/>
    <w:rsid w:val="0072329A"/>
    <w:rsid w:val="007239A3"/>
    <w:rsid w:val="00723A88"/>
    <w:rsid w:val="00723B4D"/>
    <w:rsid w:val="00723CC9"/>
    <w:rsid w:val="007240BC"/>
    <w:rsid w:val="00724A4E"/>
    <w:rsid w:val="00724D69"/>
    <w:rsid w:val="00724E0D"/>
    <w:rsid w:val="0072581C"/>
    <w:rsid w:val="0072610B"/>
    <w:rsid w:val="00726E9A"/>
    <w:rsid w:val="00727933"/>
    <w:rsid w:val="00727BCB"/>
    <w:rsid w:val="00727F44"/>
    <w:rsid w:val="00730837"/>
    <w:rsid w:val="00730DF9"/>
    <w:rsid w:val="007310B1"/>
    <w:rsid w:val="0073166D"/>
    <w:rsid w:val="00731905"/>
    <w:rsid w:val="00731F37"/>
    <w:rsid w:val="00731F97"/>
    <w:rsid w:val="0073242E"/>
    <w:rsid w:val="00732636"/>
    <w:rsid w:val="0073289D"/>
    <w:rsid w:val="00732958"/>
    <w:rsid w:val="0073317B"/>
    <w:rsid w:val="0073374A"/>
    <w:rsid w:val="00733A96"/>
    <w:rsid w:val="00733FC4"/>
    <w:rsid w:val="00734107"/>
    <w:rsid w:val="00734323"/>
    <w:rsid w:val="00734652"/>
    <w:rsid w:val="007346A8"/>
    <w:rsid w:val="00734C84"/>
    <w:rsid w:val="00734EDE"/>
    <w:rsid w:val="007350FE"/>
    <w:rsid w:val="0073514D"/>
    <w:rsid w:val="0073527E"/>
    <w:rsid w:val="0073556B"/>
    <w:rsid w:val="007357D8"/>
    <w:rsid w:val="00735A44"/>
    <w:rsid w:val="00735B38"/>
    <w:rsid w:val="0073646B"/>
    <w:rsid w:val="00736726"/>
    <w:rsid w:val="00737455"/>
    <w:rsid w:val="0073766A"/>
    <w:rsid w:val="00737964"/>
    <w:rsid w:val="00737BEC"/>
    <w:rsid w:val="007407A8"/>
    <w:rsid w:val="00740B8D"/>
    <w:rsid w:val="007412F7"/>
    <w:rsid w:val="007413C3"/>
    <w:rsid w:val="00742D58"/>
    <w:rsid w:val="00742FC7"/>
    <w:rsid w:val="00743130"/>
    <w:rsid w:val="007434CB"/>
    <w:rsid w:val="00743911"/>
    <w:rsid w:val="00743A86"/>
    <w:rsid w:val="00743B19"/>
    <w:rsid w:val="007449AA"/>
    <w:rsid w:val="007450AE"/>
    <w:rsid w:val="0074510A"/>
    <w:rsid w:val="00745112"/>
    <w:rsid w:val="00745578"/>
    <w:rsid w:val="0074579F"/>
    <w:rsid w:val="00745C49"/>
    <w:rsid w:val="007460A5"/>
    <w:rsid w:val="007463FF"/>
    <w:rsid w:val="00746FFB"/>
    <w:rsid w:val="00747034"/>
    <w:rsid w:val="00747113"/>
    <w:rsid w:val="007471EA"/>
    <w:rsid w:val="007471F6"/>
    <w:rsid w:val="0074746E"/>
    <w:rsid w:val="007476CD"/>
    <w:rsid w:val="007477E3"/>
    <w:rsid w:val="00747C3A"/>
    <w:rsid w:val="00750110"/>
    <w:rsid w:val="007505EE"/>
    <w:rsid w:val="00750BEF"/>
    <w:rsid w:val="00750E90"/>
    <w:rsid w:val="00750F85"/>
    <w:rsid w:val="007512D7"/>
    <w:rsid w:val="00751324"/>
    <w:rsid w:val="00751A55"/>
    <w:rsid w:val="00751D8C"/>
    <w:rsid w:val="00751ED3"/>
    <w:rsid w:val="00751F3D"/>
    <w:rsid w:val="00751F3E"/>
    <w:rsid w:val="0075263F"/>
    <w:rsid w:val="007528D1"/>
    <w:rsid w:val="00752C0C"/>
    <w:rsid w:val="00752C24"/>
    <w:rsid w:val="00752E09"/>
    <w:rsid w:val="00753101"/>
    <w:rsid w:val="0075368E"/>
    <w:rsid w:val="007539DC"/>
    <w:rsid w:val="00753A18"/>
    <w:rsid w:val="00753A9F"/>
    <w:rsid w:val="007544B0"/>
    <w:rsid w:val="007545F0"/>
    <w:rsid w:val="00754DA7"/>
    <w:rsid w:val="00755366"/>
    <w:rsid w:val="007554B0"/>
    <w:rsid w:val="0075550B"/>
    <w:rsid w:val="00755582"/>
    <w:rsid w:val="007556B2"/>
    <w:rsid w:val="00756500"/>
    <w:rsid w:val="0075672D"/>
    <w:rsid w:val="007568D1"/>
    <w:rsid w:val="00756AF0"/>
    <w:rsid w:val="00756B09"/>
    <w:rsid w:val="00756EFA"/>
    <w:rsid w:val="00756F92"/>
    <w:rsid w:val="00757161"/>
    <w:rsid w:val="00757C14"/>
    <w:rsid w:val="00760314"/>
    <w:rsid w:val="00760523"/>
    <w:rsid w:val="007610C7"/>
    <w:rsid w:val="007611A3"/>
    <w:rsid w:val="0076163A"/>
    <w:rsid w:val="00762606"/>
    <w:rsid w:val="007632E1"/>
    <w:rsid w:val="007637D7"/>
    <w:rsid w:val="00763846"/>
    <w:rsid w:val="00764A71"/>
    <w:rsid w:val="00764DF3"/>
    <w:rsid w:val="00764F58"/>
    <w:rsid w:val="00764FC9"/>
    <w:rsid w:val="007651ED"/>
    <w:rsid w:val="0076596B"/>
    <w:rsid w:val="00765CDE"/>
    <w:rsid w:val="00765DB8"/>
    <w:rsid w:val="0076627A"/>
    <w:rsid w:val="007665D9"/>
    <w:rsid w:val="00766ECE"/>
    <w:rsid w:val="00766FF2"/>
    <w:rsid w:val="00767155"/>
    <w:rsid w:val="00767171"/>
    <w:rsid w:val="00767BE4"/>
    <w:rsid w:val="0077118A"/>
    <w:rsid w:val="007712EA"/>
    <w:rsid w:val="007719C8"/>
    <w:rsid w:val="00771D70"/>
    <w:rsid w:val="00771F81"/>
    <w:rsid w:val="00772561"/>
    <w:rsid w:val="007726B2"/>
    <w:rsid w:val="007728B6"/>
    <w:rsid w:val="00772B68"/>
    <w:rsid w:val="00772C68"/>
    <w:rsid w:val="00772D81"/>
    <w:rsid w:val="0077300D"/>
    <w:rsid w:val="0077364E"/>
    <w:rsid w:val="007738BE"/>
    <w:rsid w:val="00773B26"/>
    <w:rsid w:val="00773B4A"/>
    <w:rsid w:val="00773B69"/>
    <w:rsid w:val="00773BC2"/>
    <w:rsid w:val="007740E5"/>
    <w:rsid w:val="007748A9"/>
    <w:rsid w:val="00774B5A"/>
    <w:rsid w:val="00776134"/>
    <w:rsid w:val="00776542"/>
    <w:rsid w:val="00776752"/>
    <w:rsid w:val="00776768"/>
    <w:rsid w:val="0077677B"/>
    <w:rsid w:val="0077680F"/>
    <w:rsid w:val="00776B06"/>
    <w:rsid w:val="00777349"/>
    <w:rsid w:val="0077757C"/>
    <w:rsid w:val="007775F9"/>
    <w:rsid w:val="00777FDE"/>
    <w:rsid w:val="00780388"/>
    <w:rsid w:val="00780481"/>
    <w:rsid w:val="00780792"/>
    <w:rsid w:val="00780E85"/>
    <w:rsid w:val="00780F4C"/>
    <w:rsid w:val="00780F7C"/>
    <w:rsid w:val="00780FF2"/>
    <w:rsid w:val="007812FF"/>
    <w:rsid w:val="007814B0"/>
    <w:rsid w:val="0078219E"/>
    <w:rsid w:val="00782294"/>
    <w:rsid w:val="007823EE"/>
    <w:rsid w:val="0078254C"/>
    <w:rsid w:val="007825BC"/>
    <w:rsid w:val="0078338D"/>
    <w:rsid w:val="007833BD"/>
    <w:rsid w:val="00783C1A"/>
    <w:rsid w:val="00783C8F"/>
    <w:rsid w:val="00784427"/>
    <w:rsid w:val="00784780"/>
    <w:rsid w:val="00785131"/>
    <w:rsid w:val="00785192"/>
    <w:rsid w:val="0078578C"/>
    <w:rsid w:val="007858EB"/>
    <w:rsid w:val="0078594A"/>
    <w:rsid w:val="00785AA5"/>
    <w:rsid w:val="00785C7B"/>
    <w:rsid w:val="00785D66"/>
    <w:rsid w:val="0078625E"/>
    <w:rsid w:val="00786A02"/>
    <w:rsid w:val="00787462"/>
    <w:rsid w:val="00787614"/>
    <w:rsid w:val="00787756"/>
    <w:rsid w:val="0078783D"/>
    <w:rsid w:val="00787C19"/>
    <w:rsid w:val="00790DA3"/>
    <w:rsid w:val="00790F58"/>
    <w:rsid w:val="00791116"/>
    <w:rsid w:val="007913BD"/>
    <w:rsid w:val="00791B5D"/>
    <w:rsid w:val="0079287A"/>
    <w:rsid w:val="00793129"/>
    <w:rsid w:val="0079330A"/>
    <w:rsid w:val="00793668"/>
    <w:rsid w:val="00793AAE"/>
    <w:rsid w:val="00794030"/>
    <w:rsid w:val="007944F5"/>
    <w:rsid w:val="00794D8F"/>
    <w:rsid w:val="00794FF5"/>
    <w:rsid w:val="0079503B"/>
    <w:rsid w:val="00795175"/>
    <w:rsid w:val="00795366"/>
    <w:rsid w:val="0079572E"/>
    <w:rsid w:val="007958FA"/>
    <w:rsid w:val="007960FE"/>
    <w:rsid w:val="0079639F"/>
    <w:rsid w:val="007964C4"/>
    <w:rsid w:val="00796B08"/>
    <w:rsid w:val="00796C1E"/>
    <w:rsid w:val="00796C27"/>
    <w:rsid w:val="00796FCD"/>
    <w:rsid w:val="00796FEF"/>
    <w:rsid w:val="0079761E"/>
    <w:rsid w:val="00797651"/>
    <w:rsid w:val="007A01BA"/>
    <w:rsid w:val="007A0356"/>
    <w:rsid w:val="007A0D8E"/>
    <w:rsid w:val="007A1688"/>
    <w:rsid w:val="007A1996"/>
    <w:rsid w:val="007A22BA"/>
    <w:rsid w:val="007A234C"/>
    <w:rsid w:val="007A25C9"/>
    <w:rsid w:val="007A2631"/>
    <w:rsid w:val="007A2828"/>
    <w:rsid w:val="007A283A"/>
    <w:rsid w:val="007A2BA0"/>
    <w:rsid w:val="007A2C4A"/>
    <w:rsid w:val="007A2EBF"/>
    <w:rsid w:val="007A317F"/>
    <w:rsid w:val="007A331D"/>
    <w:rsid w:val="007A35C3"/>
    <w:rsid w:val="007A3895"/>
    <w:rsid w:val="007A3C48"/>
    <w:rsid w:val="007A3F12"/>
    <w:rsid w:val="007A4063"/>
    <w:rsid w:val="007A45C8"/>
    <w:rsid w:val="007A46EF"/>
    <w:rsid w:val="007A4A55"/>
    <w:rsid w:val="007A4D4A"/>
    <w:rsid w:val="007A5D5F"/>
    <w:rsid w:val="007A6022"/>
    <w:rsid w:val="007A63F8"/>
    <w:rsid w:val="007A6528"/>
    <w:rsid w:val="007A689D"/>
    <w:rsid w:val="007A68C3"/>
    <w:rsid w:val="007A700C"/>
    <w:rsid w:val="007B0044"/>
    <w:rsid w:val="007B082A"/>
    <w:rsid w:val="007B0833"/>
    <w:rsid w:val="007B10BF"/>
    <w:rsid w:val="007B1789"/>
    <w:rsid w:val="007B1840"/>
    <w:rsid w:val="007B1A08"/>
    <w:rsid w:val="007B1D07"/>
    <w:rsid w:val="007B268E"/>
    <w:rsid w:val="007B2720"/>
    <w:rsid w:val="007B30E4"/>
    <w:rsid w:val="007B339D"/>
    <w:rsid w:val="007B358C"/>
    <w:rsid w:val="007B3793"/>
    <w:rsid w:val="007B3BBC"/>
    <w:rsid w:val="007B3F67"/>
    <w:rsid w:val="007B4D12"/>
    <w:rsid w:val="007B55D2"/>
    <w:rsid w:val="007B5870"/>
    <w:rsid w:val="007B5B56"/>
    <w:rsid w:val="007B6067"/>
    <w:rsid w:val="007B659E"/>
    <w:rsid w:val="007B667D"/>
    <w:rsid w:val="007B6731"/>
    <w:rsid w:val="007B6A8D"/>
    <w:rsid w:val="007B6E3E"/>
    <w:rsid w:val="007B6F7C"/>
    <w:rsid w:val="007B7031"/>
    <w:rsid w:val="007B72C9"/>
    <w:rsid w:val="007B72E5"/>
    <w:rsid w:val="007B7591"/>
    <w:rsid w:val="007B772C"/>
    <w:rsid w:val="007B7DBA"/>
    <w:rsid w:val="007C0178"/>
    <w:rsid w:val="007C065A"/>
    <w:rsid w:val="007C07AC"/>
    <w:rsid w:val="007C08A9"/>
    <w:rsid w:val="007C0F67"/>
    <w:rsid w:val="007C1709"/>
    <w:rsid w:val="007C18B2"/>
    <w:rsid w:val="007C1E6B"/>
    <w:rsid w:val="007C1FFB"/>
    <w:rsid w:val="007C2717"/>
    <w:rsid w:val="007C2F22"/>
    <w:rsid w:val="007C3224"/>
    <w:rsid w:val="007C3F4A"/>
    <w:rsid w:val="007C3F6E"/>
    <w:rsid w:val="007C416A"/>
    <w:rsid w:val="007C454B"/>
    <w:rsid w:val="007C45E9"/>
    <w:rsid w:val="007C4A7F"/>
    <w:rsid w:val="007C4AC7"/>
    <w:rsid w:val="007C4D8C"/>
    <w:rsid w:val="007C5699"/>
    <w:rsid w:val="007C5D05"/>
    <w:rsid w:val="007C61EC"/>
    <w:rsid w:val="007C6259"/>
    <w:rsid w:val="007C62CB"/>
    <w:rsid w:val="007C62E9"/>
    <w:rsid w:val="007C66E5"/>
    <w:rsid w:val="007C6DE8"/>
    <w:rsid w:val="007C7009"/>
    <w:rsid w:val="007C70CA"/>
    <w:rsid w:val="007C779B"/>
    <w:rsid w:val="007C77D8"/>
    <w:rsid w:val="007C7BF4"/>
    <w:rsid w:val="007C7C70"/>
    <w:rsid w:val="007D0917"/>
    <w:rsid w:val="007D096E"/>
    <w:rsid w:val="007D1025"/>
    <w:rsid w:val="007D1CA6"/>
    <w:rsid w:val="007D1CF5"/>
    <w:rsid w:val="007D2E77"/>
    <w:rsid w:val="007D2F16"/>
    <w:rsid w:val="007D350C"/>
    <w:rsid w:val="007D357B"/>
    <w:rsid w:val="007D3596"/>
    <w:rsid w:val="007D4816"/>
    <w:rsid w:val="007D4F3F"/>
    <w:rsid w:val="007D4FB2"/>
    <w:rsid w:val="007D5166"/>
    <w:rsid w:val="007D51B8"/>
    <w:rsid w:val="007D52BE"/>
    <w:rsid w:val="007D5640"/>
    <w:rsid w:val="007D5725"/>
    <w:rsid w:val="007D59DA"/>
    <w:rsid w:val="007D5B80"/>
    <w:rsid w:val="007D5CF2"/>
    <w:rsid w:val="007D62BB"/>
    <w:rsid w:val="007D6493"/>
    <w:rsid w:val="007D6F58"/>
    <w:rsid w:val="007E04A1"/>
    <w:rsid w:val="007E0BAB"/>
    <w:rsid w:val="007E0DAF"/>
    <w:rsid w:val="007E0EA9"/>
    <w:rsid w:val="007E1059"/>
    <w:rsid w:val="007E11B4"/>
    <w:rsid w:val="007E14BA"/>
    <w:rsid w:val="007E15CE"/>
    <w:rsid w:val="007E1C9B"/>
    <w:rsid w:val="007E1CF6"/>
    <w:rsid w:val="007E1F71"/>
    <w:rsid w:val="007E1FC1"/>
    <w:rsid w:val="007E26E1"/>
    <w:rsid w:val="007E28A2"/>
    <w:rsid w:val="007E2BEA"/>
    <w:rsid w:val="007E2C1B"/>
    <w:rsid w:val="007E2F93"/>
    <w:rsid w:val="007E3531"/>
    <w:rsid w:val="007E3D25"/>
    <w:rsid w:val="007E3DBD"/>
    <w:rsid w:val="007E4613"/>
    <w:rsid w:val="007E4C42"/>
    <w:rsid w:val="007E4D69"/>
    <w:rsid w:val="007E55E3"/>
    <w:rsid w:val="007E6068"/>
    <w:rsid w:val="007E66A8"/>
    <w:rsid w:val="007E688F"/>
    <w:rsid w:val="007E6C35"/>
    <w:rsid w:val="007E71FD"/>
    <w:rsid w:val="007E7F1F"/>
    <w:rsid w:val="007E7F95"/>
    <w:rsid w:val="007F0351"/>
    <w:rsid w:val="007F0972"/>
    <w:rsid w:val="007F0D5A"/>
    <w:rsid w:val="007F0FCD"/>
    <w:rsid w:val="007F212F"/>
    <w:rsid w:val="007F2ED6"/>
    <w:rsid w:val="007F3058"/>
    <w:rsid w:val="007F3134"/>
    <w:rsid w:val="007F3163"/>
    <w:rsid w:val="007F3234"/>
    <w:rsid w:val="007F3537"/>
    <w:rsid w:val="007F3C1E"/>
    <w:rsid w:val="007F4147"/>
    <w:rsid w:val="007F4230"/>
    <w:rsid w:val="007F5841"/>
    <w:rsid w:val="007F5C34"/>
    <w:rsid w:val="007F5D34"/>
    <w:rsid w:val="007F6D13"/>
    <w:rsid w:val="007F7CA4"/>
    <w:rsid w:val="00800B88"/>
    <w:rsid w:val="00800E30"/>
    <w:rsid w:val="00800FB6"/>
    <w:rsid w:val="008015F8"/>
    <w:rsid w:val="008017E8"/>
    <w:rsid w:val="008024B7"/>
    <w:rsid w:val="00802F26"/>
    <w:rsid w:val="0080300A"/>
    <w:rsid w:val="0080333D"/>
    <w:rsid w:val="0080345A"/>
    <w:rsid w:val="0080362E"/>
    <w:rsid w:val="0080365F"/>
    <w:rsid w:val="00803CC8"/>
    <w:rsid w:val="00804507"/>
    <w:rsid w:val="00804826"/>
    <w:rsid w:val="00804DC8"/>
    <w:rsid w:val="008058C0"/>
    <w:rsid w:val="00805E13"/>
    <w:rsid w:val="00805EF4"/>
    <w:rsid w:val="00806202"/>
    <w:rsid w:val="008062F1"/>
    <w:rsid w:val="00806954"/>
    <w:rsid w:val="00806D42"/>
    <w:rsid w:val="00806FCB"/>
    <w:rsid w:val="0080761B"/>
    <w:rsid w:val="008076A7"/>
    <w:rsid w:val="00807720"/>
    <w:rsid w:val="00807B2B"/>
    <w:rsid w:val="00807E53"/>
    <w:rsid w:val="00810067"/>
    <w:rsid w:val="008101E6"/>
    <w:rsid w:val="0081050E"/>
    <w:rsid w:val="00811541"/>
    <w:rsid w:val="008116D5"/>
    <w:rsid w:val="008120BF"/>
    <w:rsid w:val="00812422"/>
    <w:rsid w:val="00812654"/>
    <w:rsid w:val="00812C7B"/>
    <w:rsid w:val="00813258"/>
    <w:rsid w:val="00813512"/>
    <w:rsid w:val="00813E7C"/>
    <w:rsid w:val="008142C1"/>
    <w:rsid w:val="008144B6"/>
    <w:rsid w:val="0081470A"/>
    <w:rsid w:val="00814EBD"/>
    <w:rsid w:val="008150BD"/>
    <w:rsid w:val="0081523C"/>
    <w:rsid w:val="00815672"/>
    <w:rsid w:val="00815D5B"/>
    <w:rsid w:val="008160BC"/>
    <w:rsid w:val="00816216"/>
    <w:rsid w:val="008168A4"/>
    <w:rsid w:val="00816C5A"/>
    <w:rsid w:val="00817611"/>
    <w:rsid w:val="00817645"/>
    <w:rsid w:val="00817D08"/>
    <w:rsid w:val="00817DDC"/>
    <w:rsid w:val="0082053A"/>
    <w:rsid w:val="0082057E"/>
    <w:rsid w:val="00820A62"/>
    <w:rsid w:val="0082128F"/>
    <w:rsid w:val="0082193D"/>
    <w:rsid w:val="00822015"/>
    <w:rsid w:val="00822490"/>
    <w:rsid w:val="00822B4B"/>
    <w:rsid w:val="00822B9A"/>
    <w:rsid w:val="00822D2A"/>
    <w:rsid w:val="0082325B"/>
    <w:rsid w:val="00823CFC"/>
    <w:rsid w:val="00823F73"/>
    <w:rsid w:val="008241F7"/>
    <w:rsid w:val="00825928"/>
    <w:rsid w:val="00825A1D"/>
    <w:rsid w:val="00825A38"/>
    <w:rsid w:val="00825E39"/>
    <w:rsid w:val="00825E4E"/>
    <w:rsid w:val="008263A9"/>
    <w:rsid w:val="008263C9"/>
    <w:rsid w:val="008266B5"/>
    <w:rsid w:val="00826BD9"/>
    <w:rsid w:val="008272DB"/>
    <w:rsid w:val="0082782E"/>
    <w:rsid w:val="00827E70"/>
    <w:rsid w:val="00827F72"/>
    <w:rsid w:val="00827FA0"/>
    <w:rsid w:val="0083042E"/>
    <w:rsid w:val="0083074C"/>
    <w:rsid w:val="00830785"/>
    <w:rsid w:val="0083103A"/>
    <w:rsid w:val="0083103B"/>
    <w:rsid w:val="00831288"/>
    <w:rsid w:val="00831B96"/>
    <w:rsid w:val="00831D65"/>
    <w:rsid w:val="0083223A"/>
    <w:rsid w:val="008322C9"/>
    <w:rsid w:val="0083272A"/>
    <w:rsid w:val="00833160"/>
    <w:rsid w:val="00833983"/>
    <w:rsid w:val="00833E38"/>
    <w:rsid w:val="00833F78"/>
    <w:rsid w:val="00834E84"/>
    <w:rsid w:val="00835048"/>
    <w:rsid w:val="008355B3"/>
    <w:rsid w:val="00835612"/>
    <w:rsid w:val="00836185"/>
    <w:rsid w:val="00836407"/>
    <w:rsid w:val="0083675B"/>
    <w:rsid w:val="008371B9"/>
    <w:rsid w:val="008374FB"/>
    <w:rsid w:val="00837545"/>
    <w:rsid w:val="00837F7D"/>
    <w:rsid w:val="0084001D"/>
    <w:rsid w:val="0084078A"/>
    <w:rsid w:val="00840EEF"/>
    <w:rsid w:val="0084131F"/>
    <w:rsid w:val="0084146F"/>
    <w:rsid w:val="00841505"/>
    <w:rsid w:val="008416FE"/>
    <w:rsid w:val="00841AE9"/>
    <w:rsid w:val="00841BF3"/>
    <w:rsid w:val="00841EE9"/>
    <w:rsid w:val="00842A91"/>
    <w:rsid w:val="0084316C"/>
    <w:rsid w:val="008432F7"/>
    <w:rsid w:val="00843D54"/>
    <w:rsid w:val="00844586"/>
    <w:rsid w:val="00844975"/>
    <w:rsid w:val="00844A42"/>
    <w:rsid w:val="00844B2F"/>
    <w:rsid w:val="00844BC8"/>
    <w:rsid w:val="0084503F"/>
    <w:rsid w:val="00845C28"/>
    <w:rsid w:val="00845CD4"/>
    <w:rsid w:val="00845FF8"/>
    <w:rsid w:val="0084619F"/>
    <w:rsid w:val="008466E1"/>
    <w:rsid w:val="00846ABF"/>
    <w:rsid w:val="00846FDF"/>
    <w:rsid w:val="00847678"/>
    <w:rsid w:val="00847CEA"/>
    <w:rsid w:val="00850130"/>
    <w:rsid w:val="008501CD"/>
    <w:rsid w:val="008502FD"/>
    <w:rsid w:val="00850367"/>
    <w:rsid w:val="008505EC"/>
    <w:rsid w:val="0085060C"/>
    <w:rsid w:val="008508F4"/>
    <w:rsid w:val="00850A47"/>
    <w:rsid w:val="00851655"/>
    <w:rsid w:val="00851BA1"/>
    <w:rsid w:val="00852700"/>
    <w:rsid w:val="008527CD"/>
    <w:rsid w:val="00852880"/>
    <w:rsid w:val="00852902"/>
    <w:rsid w:val="00852DE1"/>
    <w:rsid w:val="00853383"/>
    <w:rsid w:val="00853CE9"/>
    <w:rsid w:val="0085413B"/>
    <w:rsid w:val="00854269"/>
    <w:rsid w:val="00854326"/>
    <w:rsid w:val="00854373"/>
    <w:rsid w:val="00854B62"/>
    <w:rsid w:val="00854BC9"/>
    <w:rsid w:val="00854FD3"/>
    <w:rsid w:val="008550C9"/>
    <w:rsid w:val="00855411"/>
    <w:rsid w:val="00855443"/>
    <w:rsid w:val="00855502"/>
    <w:rsid w:val="00855635"/>
    <w:rsid w:val="00855985"/>
    <w:rsid w:val="00855BC8"/>
    <w:rsid w:val="00855E8C"/>
    <w:rsid w:val="008566EF"/>
    <w:rsid w:val="0085798F"/>
    <w:rsid w:val="00860059"/>
    <w:rsid w:val="00860921"/>
    <w:rsid w:val="008612D8"/>
    <w:rsid w:val="00861DA7"/>
    <w:rsid w:val="00861F88"/>
    <w:rsid w:val="008623D7"/>
    <w:rsid w:val="00862436"/>
    <w:rsid w:val="00862555"/>
    <w:rsid w:val="0086255B"/>
    <w:rsid w:val="008625E8"/>
    <w:rsid w:val="00862C9B"/>
    <w:rsid w:val="0086364E"/>
    <w:rsid w:val="0086403D"/>
    <w:rsid w:val="008646D8"/>
    <w:rsid w:val="008647F6"/>
    <w:rsid w:val="0086480D"/>
    <w:rsid w:val="008653C9"/>
    <w:rsid w:val="008653D7"/>
    <w:rsid w:val="00865513"/>
    <w:rsid w:val="0086583D"/>
    <w:rsid w:val="00865997"/>
    <w:rsid w:val="00866061"/>
    <w:rsid w:val="0086625E"/>
    <w:rsid w:val="008662C6"/>
    <w:rsid w:val="008662DB"/>
    <w:rsid w:val="00866555"/>
    <w:rsid w:val="00866596"/>
    <w:rsid w:val="00866860"/>
    <w:rsid w:val="008669E3"/>
    <w:rsid w:val="00866B76"/>
    <w:rsid w:val="0087087A"/>
    <w:rsid w:val="008713AC"/>
    <w:rsid w:val="008714D9"/>
    <w:rsid w:val="0087192A"/>
    <w:rsid w:val="00871E43"/>
    <w:rsid w:val="008721DC"/>
    <w:rsid w:val="008722D9"/>
    <w:rsid w:val="0087242D"/>
    <w:rsid w:val="008724BA"/>
    <w:rsid w:val="00872AEA"/>
    <w:rsid w:val="00872AED"/>
    <w:rsid w:val="00872C99"/>
    <w:rsid w:val="008730B0"/>
    <w:rsid w:val="008733A0"/>
    <w:rsid w:val="008734AF"/>
    <w:rsid w:val="008745C7"/>
    <w:rsid w:val="0087490B"/>
    <w:rsid w:val="00874FD9"/>
    <w:rsid w:val="008751A7"/>
    <w:rsid w:val="008751BC"/>
    <w:rsid w:val="00875992"/>
    <w:rsid w:val="00875CFA"/>
    <w:rsid w:val="00875F4E"/>
    <w:rsid w:val="008765E0"/>
    <w:rsid w:val="00876C99"/>
    <w:rsid w:val="00876F90"/>
    <w:rsid w:val="008772AD"/>
    <w:rsid w:val="00877657"/>
    <w:rsid w:val="00877D02"/>
    <w:rsid w:val="00877E1C"/>
    <w:rsid w:val="008812DE"/>
    <w:rsid w:val="00881A27"/>
    <w:rsid w:val="00881E68"/>
    <w:rsid w:val="0088252F"/>
    <w:rsid w:val="008826CF"/>
    <w:rsid w:val="008828CF"/>
    <w:rsid w:val="00882DFD"/>
    <w:rsid w:val="0088307D"/>
    <w:rsid w:val="008831FC"/>
    <w:rsid w:val="00883A14"/>
    <w:rsid w:val="00883D4C"/>
    <w:rsid w:val="0088425C"/>
    <w:rsid w:val="00884619"/>
    <w:rsid w:val="008849FF"/>
    <w:rsid w:val="00884DD2"/>
    <w:rsid w:val="008855AD"/>
    <w:rsid w:val="0088578C"/>
    <w:rsid w:val="00886320"/>
    <w:rsid w:val="00886AA1"/>
    <w:rsid w:val="00887183"/>
    <w:rsid w:val="00887ACA"/>
    <w:rsid w:val="00887CCE"/>
    <w:rsid w:val="00887DE5"/>
    <w:rsid w:val="00887FAE"/>
    <w:rsid w:val="00890327"/>
    <w:rsid w:val="00890514"/>
    <w:rsid w:val="00890786"/>
    <w:rsid w:val="008908A0"/>
    <w:rsid w:val="0089166D"/>
    <w:rsid w:val="008919D9"/>
    <w:rsid w:val="00891BAC"/>
    <w:rsid w:val="00892DFB"/>
    <w:rsid w:val="00892E2E"/>
    <w:rsid w:val="00892FB9"/>
    <w:rsid w:val="00893884"/>
    <w:rsid w:val="00893A9E"/>
    <w:rsid w:val="00893C6C"/>
    <w:rsid w:val="00893E6F"/>
    <w:rsid w:val="0089418C"/>
    <w:rsid w:val="00894903"/>
    <w:rsid w:val="00894B1D"/>
    <w:rsid w:val="00894BCC"/>
    <w:rsid w:val="00895720"/>
    <w:rsid w:val="008964F3"/>
    <w:rsid w:val="00896642"/>
    <w:rsid w:val="00897035"/>
    <w:rsid w:val="00897A3C"/>
    <w:rsid w:val="00897B86"/>
    <w:rsid w:val="00897C7E"/>
    <w:rsid w:val="008A014F"/>
    <w:rsid w:val="008A0601"/>
    <w:rsid w:val="008A087E"/>
    <w:rsid w:val="008A0A8B"/>
    <w:rsid w:val="008A0DF1"/>
    <w:rsid w:val="008A1113"/>
    <w:rsid w:val="008A11C9"/>
    <w:rsid w:val="008A14FE"/>
    <w:rsid w:val="008A1597"/>
    <w:rsid w:val="008A1B44"/>
    <w:rsid w:val="008A1C02"/>
    <w:rsid w:val="008A2213"/>
    <w:rsid w:val="008A22CC"/>
    <w:rsid w:val="008A28FA"/>
    <w:rsid w:val="008A2BA1"/>
    <w:rsid w:val="008A2BC5"/>
    <w:rsid w:val="008A2FA6"/>
    <w:rsid w:val="008A3337"/>
    <w:rsid w:val="008A4348"/>
    <w:rsid w:val="008A4843"/>
    <w:rsid w:val="008A4D55"/>
    <w:rsid w:val="008A55DD"/>
    <w:rsid w:val="008A5947"/>
    <w:rsid w:val="008A5AC8"/>
    <w:rsid w:val="008A5B52"/>
    <w:rsid w:val="008A5B90"/>
    <w:rsid w:val="008A63FD"/>
    <w:rsid w:val="008A6458"/>
    <w:rsid w:val="008A657C"/>
    <w:rsid w:val="008A6752"/>
    <w:rsid w:val="008A6C85"/>
    <w:rsid w:val="008A6E97"/>
    <w:rsid w:val="008A7532"/>
    <w:rsid w:val="008A7561"/>
    <w:rsid w:val="008A7A22"/>
    <w:rsid w:val="008B01F0"/>
    <w:rsid w:val="008B020D"/>
    <w:rsid w:val="008B0289"/>
    <w:rsid w:val="008B04BB"/>
    <w:rsid w:val="008B05DC"/>
    <w:rsid w:val="008B07CF"/>
    <w:rsid w:val="008B0B37"/>
    <w:rsid w:val="008B0DC8"/>
    <w:rsid w:val="008B0E18"/>
    <w:rsid w:val="008B121E"/>
    <w:rsid w:val="008B122E"/>
    <w:rsid w:val="008B15BA"/>
    <w:rsid w:val="008B1601"/>
    <w:rsid w:val="008B164D"/>
    <w:rsid w:val="008B18A3"/>
    <w:rsid w:val="008B223F"/>
    <w:rsid w:val="008B2850"/>
    <w:rsid w:val="008B28AC"/>
    <w:rsid w:val="008B2D4D"/>
    <w:rsid w:val="008B2FD0"/>
    <w:rsid w:val="008B32EF"/>
    <w:rsid w:val="008B346D"/>
    <w:rsid w:val="008B37A2"/>
    <w:rsid w:val="008B3A1B"/>
    <w:rsid w:val="008B3BB2"/>
    <w:rsid w:val="008B3C63"/>
    <w:rsid w:val="008B410D"/>
    <w:rsid w:val="008B4335"/>
    <w:rsid w:val="008B4472"/>
    <w:rsid w:val="008B469E"/>
    <w:rsid w:val="008B495E"/>
    <w:rsid w:val="008B54D7"/>
    <w:rsid w:val="008B6221"/>
    <w:rsid w:val="008B6546"/>
    <w:rsid w:val="008B65A5"/>
    <w:rsid w:val="008B6D0A"/>
    <w:rsid w:val="008B6D39"/>
    <w:rsid w:val="008B6D51"/>
    <w:rsid w:val="008B70A0"/>
    <w:rsid w:val="008B718B"/>
    <w:rsid w:val="008B729D"/>
    <w:rsid w:val="008B76BA"/>
    <w:rsid w:val="008B7896"/>
    <w:rsid w:val="008C0651"/>
    <w:rsid w:val="008C0A1A"/>
    <w:rsid w:val="008C111C"/>
    <w:rsid w:val="008C14D0"/>
    <w:rsid w:val="008C2E16"/>
    <w:rsid w:val="008C37F0"/>
    <w:rsid w:val="008C4EEC"/>
    <w:rsid w:val="008C556C"/>
    <w:rsid w:val="008C570F"/>
    <w:rsid w:val="008C5E2F"/>
    <w:rsid w:val="008C68CA"/>
    <w:rsid w:val="008C6D2B"/>
    <w:rsid w:val="008C6E48"/>
    <w:rsid w:val="008C6FE9"/>
    <w:rsid w:val="008C7D5B"/>
    <w:rsid w:val="008D00EA"/>
    <w:rsid w:val="008D0379"/>
    <w:rsid w:val="008D0662"/>
    <w:rsid w:val="008D091B"/>
    <w:rsid w:val="008D1273"/>
    <w:rsid w:val="008D13E6"/>
    <w:rsid w:val="008D1521"/>
    <w:rsid w:val="008D18F4"/>
    <w:rsid w:val="008D1E89"/>
    <w:rsid w:val="008D22B8"/>
    <w:rsid w:val="008D2A54"/>
    <w:rsid w:val="008D2A6C"/>
    <w:rsid w:val="008D2DD7"/>
    <w:rsid w:val="008D3A99"/>
    <w:rsid w:val="008D3C7D"/>
    <w:rsid w:val="008D4115"/>
    <w:rsid w:val="008D4923"/>
    <w:rsid w:val="008D53C9"/>
    <w:rsid w:val="008D562A"/>
    <w:rsid w:val="008D5679"/>
    <w:rsid w:val="008D5725"/>
    <w:rsid w:val="008D58A3"/>
    <w:rsid w:val="008D5A54"/>
    <w:rsid w:val="008D5BD2"/>
    <w:rsid w:val="008D64E5"/>
    <w:rsid w:val="008D724C"/>
    <w:rsid w:val="008D7845"/>
    <w:rsid w:val="008D7C97"/>
    <w:rsid w:val="008D7DA8"/>
    <w:rsid w:val="008E03B4"/>
    <w:rsid w:val="008E0DED"/>
    <w:rsid w:val="008E0E5A"/>
    <w:rsid w:val="008E1397"/>
    <w:rsid w:val="008E24CC"/>
    <w:rsid w:val="008E263D"/>
    <w:rsid w:val="008E2C1B"/>
    <w:rsid w:val="008E2CBC"/>
    <w:rsid w:val="008E3062"/>
    <w:rsid w:val="008E344F"/>
    <w:rsid w:val="008E347E"/>
    <w:rsid w:val="008E372F"/>
    <w:rsid w:val="008E3815"/>
    <w:rsid w:val="008E3F3E"/>
    <w:rsid w:val="008E49C2"/>
    <w:rsid w:val="008E4A6E"/>
    <w:rsid w:val="008E4BBE"/>
    <w:rsid w:val="008E4F26"/>
    <w:rsid w:val="008E503C"/>
    <w:rsid w:val="008E544D"/>
    <w:rsid w:val="008E5502"/>
    <w:rsid w:val="008E5F7B"/>
    <w:rsid w:val="008E70B9"/>
    <w:rsid w:val="008E7687"/>
    <w:rsid w:val="008E7AD6"/>
    <w:rsid w:val="008F00AF"/>
    <w:rsid w:val="008F0744"/>
    <w:rsid w:val="008F1057"/>
    <w:rsid w:val="008F13EB"/>
    <w:rsid w:val="008F1BE4"/>
    <w:rsid w:val="008F1F54"/>
    <w:rsid w:val="008F23BF"/>
    <w:rsid w:val="008F27D1"/>
    <w:rsid w:val="008F2C31"/>
    <w:rsid w:val="008F2CD5"/>
    <w:rsid w:val="008F32BE"/>
    <w:rsid w:val="008F345C"/>
    <w:rsid w:val="008F4437"/>
    <w:rsid w:val="008F47B7"/>
    <w:rsid w:val="008F577B"/>
    <w:rsid w:val="008F59F1"/>
    <w:rsid w:val="008F5ACD"/>
    <w:rsid w:val="008F5F0D"/>
    <w:rsid w:val="008F6262"/>
    <w:rsid w:val="008F6371"/>
    <w:rsid w:val="008F6D9B"/>
    <w:rsid w:val="008F7A6B"/>
    <w:rsid w:val="008F7B5F"/>
    <w:rsid w:val="008F7BCD"/>
    <w:rsid w:val="008F7F33"/>
    <w:rsid w:val="009000DA"/>
    <w:rsid w:val="00900EB8"/>
    <w:rsid w:val="0090104F"/>
    <w:rsid w:val="00901142"/>
    <w:rsid w:val="009011D8"/>
    <w:rsid w:val="00901393"/>
    <w:rsid w:val="00901958"/>
    <w:rsid w:val="00901AE2"/>
    <w:rsid w:val="00901D29"/>
    <w:rsid w:val="00901E18"/>
    <w:rsid w:val="00902046"/>
    <w:rsid w:val="0090248A"/>
    <w:rsid w:val="00902CDB"/>
    <w:rsid w:val="00902EE8"/>
    <w:rsid w:val="00902F84"/>
    <w:rsid w:val="00903819"/>
    <w:rsid w:val="00903CC6"/>
    <w:rsid w:val="00903F2E"/>
    <w:rsid w:val="009040EC"/>
    <w:rsid w:val="0090420E"/>
    <w:rsid w:val="009043F6"/>
    <w:rsid w:val="00904419"/>
    <w:rsid w:val="009045BF"/>
    <w:rsid w:val="0090486F"/>
    <w:rsid w:val="00904A26"/>
    <w:rsid w:val="00904E71"/>
    <w:rsid w:val="0090542A"/>
    <w:rsid w:val="00905525"/>
    <w:rsid w:val="00905616"/>
    <w:rsid w:val="009058BA"/>
    <w:rsid w:val="0090599A"/>
    <w:rsid w:val="00905F4D"/>
    <w:rsid w:val="009062D3"/>
    <w:rsid w:val="009067F7"/>
    <w:rsid w:val="0090683E"/>
    <w:rsid w:val="00906A56"/>
    <w:rsid w:val="009074F0"/>
    <w:rsid w:val="00907ADE"/>
    <w:rsid w:val="00907FEE"/>
    <w:rsid w:val="009108DD"/>
    <w:rsid w:val="00910931"/>
    <w:rsid w:val="00910DC3"/>
    <w:rsid w:val="00911621"/>
    <w:rsid w:val="0091199C"/>
    <w:rsid w:val="00911BC6"/>
    <w:rsid w:val="00912168"/>
    <w:rsid w:val="00912C14"/>
    <w:rsid w:val="00912F57"/>
    <w:rsid w:val="00913326"/>
    <w:rsid w:val="00913354"/>
    <w:rsid w:val="0091339B"/>
    <w:rsid w:val="00913578"/>
    <w:rsid w:val="0091385F"/>
    <w:rsid w:val="00913F3E"/>
    <w:rsid w:val="0091405D"/>
    <w:rsid w:val="0091451E"/>
    <w:rsid w:val="009145C5"/>
    <w:rsid w:val="00914742"/>
    <w:rsid w:val="00914CD9"/>
    <w:rsid w:val="0091575E"/>
    <w:rsid w:val="009158BE"/>
    <w:rsid w:val="00915C00"/>
    <w:rsid w:val="0091614D"/>
    <w:rsid w:val="009166CB"/>
    <w:rsid w:val="00916D1A"/>
    <w:rsid w:val="00916FB6"/>
    <w:rsid w:val="0091705E"/>
    <w:rsid w:val="009170D4"/>
    <w:rsid w:val="00917400"/>
    <w:rsid w:val="009177AD"/>
    <w:rsid w:val="00917999"/>
    <w:rsid w:val="00917AB2"/>
    <w:rsid w:val="009202C7"/>
    <w:rsid w:val="0092104A"/>
    <w:rsid w:val="009212CD"/>
    <w:rsid w:val="00921DAD"/>
    <w:rsid w:val="00921FE8"/>
    <w:rsid w:val="00922005"/>
    <w:rsid w:val="009220DB"/>
    <w:rsid w:val="0092243E"/>
    <w:rsid w:val="00922622"/>
    <w:rsid w:val="00922A23"/>
    <w:rsid w:val="00922B7C"/>
    <w:rsid w:val="00922F25"/>
    <w:rsid w:val="0092385C"/>
    <w:rsid w:val="00923FAE"/>
    <w:rsid w:val="009241B5"/>
    <w:rsid w:val="00924260"/>
    <w:rsid w:val="00924502"/>
    <w:rsid w:val="009245D3"/>
    <w:rsid w:val="009255CE"/>
    <w:rsid w:val="009260CA"/>
    <w:rsid w:val="009267A6"/>
    <w:rsid w:val="00927037"/>
    <w:rsid w:val="009271CF"/>
    <w:rsid w:val="00927230"/>
    <w:rsid w:val="00927673"/>
    <w:rsid w:val="00927904"/>
    <w:rsid w:val="00930430"/>
    <w:rsid w:val="00930748"/>
    <w:rsid w:val="00930771"/>
    <w:rsid w:val="00930841"/>
    <w:rsid w:val="00931E92"/>
    <w:rsid w:val="00932778"/>
    <w:rsid w:val="00933030"/>
    <w:rsid w:val="009330C1"/>
    <w:rsid w:val="0093348B"/>
    <w:rsid w:val="00933CFF"/>
    <w:rsid w:val="00934914"/>
    <w:rsid w:val="00934A4C"/>
    <w:rsid w:val="00935A1B"/>
    <w:rsid w:val="00935A1F"/>
    <w:rsid w:val="00935A38"/>
    <w:rsid w:val="00935B9F"/>
    <w:rsid w:val="00935E3D"/>
    <w:rsid w:val="0093616C"/>
    <w:rsid w:val="0093657E"/>
    <w:rsid w:val="0093696D"/>
    <w:rsid w:val="00937358"/>
    <w:rsid w:val="00937647"/>
    <w:rsid w:val="0093787B"/>
    <w:rsid w:val="00940631"/>
    <w:rsid w:val="00940788"/>
    <w:rsid w:val="00940FCA"/>
    <w:rsid w:val="00941216"/>
    <w:rsid w:val="009413BE"/>
    <w:rsid w:val="0094180C"/>
    <w:rsid w:val="00942091"/>
    <w:rsid w:val="00942356"/>
    <w:rsid w:val="009425EE"/>
    <w:rsid w:val="00944184"/>
    <w:rsid w:val="00944928"/>
    <w:rsid w:val="00944A9B"/>
    <w:rsid w:val="0094516F"/>
    <w:rsid w:val="009451DE"/>
    <w:rsid w:val="00945315"/>
    <w:rsid w:val="00945712"/>
    <w:rsid w:val="00945C61"/>
    <w:rsid w:val="00945FE7"/>
    <w:rsid w:val="00946009"/>
    <w:rsid w:val="00946506"/>
    <w:rsid w:val="0095060C"/>
    <w:rsid w:val="009508DD"/>
    <w:rsid w:val="00950C74"/>
    <w:rsid w:val="00950E99"/>
    <w:rsid w:val="009511A9"/>
    <w:rsid w:val="009512A0"/>
    <w:rsid w:val="0095161C"/>
    <w:rsid w:val="00951E8F"/>
    <w:rsid w:val="00952926"/>
    <w:rsid w:val="00952D82"/>
    <w:rsid w:val="00952E84"/>
    <w:rsid w:val="00953036"/>
    <w:rsid w:val="00953268"/>
    <w:rsid w:val="00953460"/>
    <w:rsid w:val="00953D58"/>
    <w:rsid w:val="00955079"/>
    <w:rsid w:val="00955458"/>
    <w:rsid w:val="00955481"/>
    <w:rsid w:val="009554C7"/>
    <w:rsid w:val="009557EE"/>
    <w:rsid w:val="00955EC5"/>
    <w:rsid w:val="009561DC"/>
    <w:rsid w:val="009564DE"/>
    <w:rsid w:val="009566DE"/>
    <w:rsid w:val="00956D19"/>
    <w:rsid w:val="00957756"/>
    <w:rsid w:val="0095778B"/>
    <w:rsid w:val="009612A1"/>
    <w:rsid w:val="009614DF"/>
    <w:rsid w:val="00961864"/>
    <w:rsid w:val="00961D41"/>
    <w:rsid w:val="009623D0"/>
    <w:rsid w:val="009626E1"/>
    <w:rsid w:val="00962AF9"/>
    <w:rsid w:val="00962D0A"/>
    <w:rsid w:val="009632A4"/>
    <w:rsid w:val="00963A33"/>
    <w:rsid w:val="00963F73"/>
    <w:rsid w:val="009642AC"/>
    <w:rsid w:val="00964478"/>
    <w:rsid w:val="0096448F"/>
    <w:rsid w:val="00964564"/>
    <w:rsid w:val="00964782"/>
    <w:rsid w:val="00965993"/>
    <w:rsid w:val="009661D2"/>
    <w:rsid w:val="0096654A"/>
    <w:rsid w:val="0096669C"/>
    <w:rsid w:val="009667B5"/>
    <w:rsid w:val="00966905"/>
    <w:rsid w:val="00966A29"/>
    <w:rsid w:val="00966BE3"/>
    <w:rsid w:val="0096707E"/>
    <w:rsid w:val="0096751F"/>
    <w:rsid w:val="00967B25"/>
    <w:rsid w:val="00970648"/>
    <w:rsid w:val="00970A28"/>
    <w:rsid w:val="009716DD"/>
    <w:rsid w:val="0097190C"/>
    <w:rsid w:val="00972224"/>
    <w:rsid w:val="00972721"/>
    <w:rsid w:val="009730C2"/>
    <w:rsid w:val="0097316B"/>
    <w:rsid w:val="00973191"/>
    <w:rsid w:val="00973B64"/>
    <w:rsid w:val="00973C43"/>
    <w:rsid w:val="00974928"/>
    <w:rsid w:val="00974B1F"/>
    <w:rsid w:val="009752C9"/>
    <w:rsid w:val="009752DB"/>
    <w:rsid w:val="0097605E"/>
    <w:rsid w:val="00976D96"/>
    <w:rsid w:val="009774F2"/>
    <w:rsid w:val="0097775B"/>
    <w:rsid w:val="00977B74"/>
    <w:rsid w:val="00977E36"/>
    <w:rsid w:val="00980750"/>
    <w:rsid w:val="0098087E"/>
    <w:rsid w:val="00980B8B"/>
    <w:rsid w:val="00980BD0"/>
    <w:rsid w:val="00981821"/>
    <w:rsid w:val="009818B8"/>
    <w:rsid w:val="009825C4"/>
    <w:rsid w:val="00983072"/>
    <w:rsid w:val="00983365"/>
    <w:rsid w:val="009833C9"/>
    <w:rsid w:val="0098369D"/>
    <w:rsid w:val="00984230"/>
    <w:rsid w:val="00984283"/>
    <w:rsid w:val="009842F2"/>
    <w:rsid w:val="00985925"/>
    <w:rsid w:val="00985B9E"/>
    <w:rsid w:val="009863C6"/>
    <w:rsid w:val="009863FA"/>
    <w:rsid w:val="009865B4"/>
    <w:rsid w:val="00986BCE"/>
    <w:rsid w:val="00986C49"/>
    <w:rsid w:val="00986CD7"/>
    <w:rsid w:val="009877FB"/>
    <w:rsid w:val="00987BCF"/>
    <w:rsid w:val="00990887"/>
    <w:rsid w:val="00991012"/>
    <w:rsid w:val="00991022"/>
    <w:rsid w:val="009913A2"/>
    <w:rsid w:val="00991597"/>
    <w:rsid w:val="00991B71"/>
    <w:rsid w:val="0099212F"/>
    <w:rsid w:val="00992AC4"/>
    <w:rsid w:val="00992ED0"/>
    <w:rsid w:val="0099357A"/>
    <w:rsid w:val="0099370E"/>
    <w:rsid w:val="00993858"/>
    <w:rsid w:val="00993B8A"/>
    <w:rsid w:val="00993C3B"/>
    <w:rsid w:val="00993FE7"/>
    <w:rsid w:val="00994350"/>
    <w:rsid w:val="00994C94"/>
    <w:rsid w:val="00994CF8"/>
    <w:rsid w:val="00994FF0"/>
    <w:rsid w:val="0099506A"/>
    <w:rsid w:val="009950CE"/>
    <w:rsid w:val="00995485"/>
    <w:rsid w:val="009958F4"/>
    <w:rsid w:val="00995B17"/>
    <w:rsid w:val="00995C6B"/>
    <w:rsid w:val="00995F45"/>
    <w:rsid w:val="009964F2"/>
    <w:rsid w:val="00996564"/>
    <w:rsid w:val="009968CF"/>
    <w:rsid w:val="00996A2A"/>
    <w:rsid w:val="009A0016"/>
    <w:rsid w:val="009A0126"/>
    <w:rsid w:val="009A055F"/>
    <w:rsid w:val="009A1004"/>
    <w:rsid w:val="009A17DF"/>
    <w:rsid w:val="009A1B1F"/>
    <w:rsid w:val="009A1EDF"/>
    <w:rsid w:val="009A1FBA"/>
    <w:rsid w:val="009A1FCF"/>
    <w:rsid w:val="009A2076"/>
    <w:rsid w:val="009A2DC7"/>
    <w:rsid w:val="009A3021"/>
    <w:rsid w:val="009A3486"/>
    <w:rsid w:val="009A34F1"/>
    <w:rsid w:val="009A374E"/>
    <w:rsid w:val="009A4045"/>
    <w:rsid w:val="009A486B"/>
    <w:rsid w:val="009A48E2"/>
    <w:rsid w:val="009A4E19"/>
    <w:rsid w:val="009A5075"/>
    <w:rsid w:val="009A54A5"/>
    <w:rsid w:val="009A58F8"/>
    <w:rsid w:val="009A5ABF"/>
    <w:rsid w:val="009A5B39"/>
    <w:rsid w:val="009A5E8F"/>
    <w:rsid w:val="009A6083"/>
    <w:rsid w:val="009A6362"/>
    <w:rsid w:val="009A6922"/>
    <w:rsid w:val="009A6AF0"/>
    <w:rsid w:val="009A7664"/>
    <w:rsid w:val="009A77F4"/>
    <w:rsid w:val="009A7DB2"/>
    <w:rsid w:val="009A7E8B"/>
    <w:rsid w:val="009A7F41"/>
    <w:rsid w:val="009A7FC5"/>
    <w:rsid w:val="009B03E7"/>
    <w:rsid w:val="009B0627"/>
    <w:rsid w:val="009B09C2"/>
    <w:rsid w:val="009B0AE0"/>
    <w:rsid w:val="009B156B"/>
    <w:rsid w:val="009B16CA"/>
    <w:rsid w:val="009B1B09"/>
    <w:rsid w:val="009B1F90"/>
    <w:rsid w:val="009B22C9"/>
    <w:rsid w:val="009B36AF"/>
    <w:rsid w:val="009B379A"/>
    <w:rsid w:val="009B4072"/>
    <w:rsid w:val="009B40C4"/>
    <w:rsid w:val="009B4173"/>
    <w:rsid w:val="009B4C40"/>
    <w:rsid w:val="009B4D84"/>
    <w:rsid w:val="009B5134"/>
    <w:rsid w:val="009B51D8"/>
    <w:rsid w:val="009B5682"/>
    <w:rsid w:val="009B5E37"/>
    <w:rsid w:val="009B5F09"/>
    <w:rsid w:val="009B5F6B"/>
    <w:rsid w:val="009B60B3"/>
    <w:rsid w:val="009B6192"/>
    <w:rsid w:val="009B68A6"/>
    <w:rsid w:val="009B6E8F"/>
    <w:rsid w:val="009B6E96"/>
    <w:rsid w:val="009B708B"/>
    <w:rsid w:val="009B724B"/>
    <w:rsid w:val="009B779B"/>
    <w:rsid w:val="009B7AB3"/>
    <w:rsid w:val="009C04B9"/>
    <w:rsid w:val="009C078B"/>
    <w:rsid w:val="009C0D58"/>
    <w:rsid w:val="009C115C"/>
    <w:rsid w:val="009C1A62"/>
    <w:rsid w:val="009C1DFA"/>
    <w:rsid w:val="009C23B7"/>
    <w:rsid w:val="009C2E5C"/>
    <w:rsid w:val="009C3697"/>
    <w:rsid w:val="009C3FE7"/>
    <w:rsid w:val="009C41C9"/>
    <w:rsid w:val="009C43B8"/>
    <w:rsid w:val="009C4663"/>
    <w:rsid w:val="009C51CF"/>
    <w:rsid w:val="009C5585"/>
    <w:rsid w:val="009C6ED6"/>
    <w:rsid w:val="009C6FEA"/>
    <w:rsid w:val="009C7312"/>
    <w:rsid w:val="009C7492"/>
    <w:rsid w:val="009C7715"/>
    <w:rsid w:val="009C78AD"/>
    <w:rsid w:val="009C7C27"/>
    <w:rsid w:val="009D0F11"/>
    <w:rsid w:val="009D14AA"/>
    <w:rsid w:val="009D16B9"/>
    <w:rsid w:val="009D1F1A"/>
    <w:rsid w:val="009D23EC"/>
    <w:rsid w:val="009D240E"/>
    <w:rsid w:val="009D2BAA"/>
    <w:rsid w:val="009D2C5B"/>
    <w:rsid w:val="009D2D55"/>
    <w:rsid w:val="009D31F2"/>
    <w:rsid w:val="009D3306"/>
    <w:rsid w:val="009D374E"/>
    <w:rsid w:val="009D456D"/>
    <w:rsid w:val="009D470B"/>
    <w:rsid w:val="009D48D3"/>
    <w:rsid w:val="009D4957"/>
    <w:rsid w:val="009D52E5"/>
    <w:rsid w:val="009D5583"/>
    <w:rsid w:val="009D5905"/>
    <w:rsid w:val="009D5F0D"/>
    <w:rsid w:val="009D5F32"/>
    <w:rsid w:val="009D6161"/>
    <w:rsid w:val="009D63C1"/>
    <w:rsid w:val="009D648F"/>
    <w:rsid w:val="009D66B0"/>
    <w:rsid w:val="009D67FF"/>
    <w:rsid w:val="009D6BF3"/>
    <w:rsid w:val="009D7876"/>
    <w:rsid w:val="009D78E7"/>
    <w:rsid w:val="009D7BBA"/>
    <w:rsid w:val="009D7D11"/>
    <w:rsid w:val="009E068E"/>
    <w:rsid w:val="009E0BB8"/>
    <w:rsid w:val="009E0D53"/>
    <w:rsid w:val="009E13A2"/>
    <w:rsid w:val="009E1F7F"/>
    <w:rsid w:val="009E24E9"/>
    <w:rsid w:val="009E3164"/>
    <w:rsid w:val="009E33CD"/>
    <w:rsid w:val="009E3A3D"/>
    <w:rsid w:val="009E3FA0"/>
    <w:rsid w:val="009E559A"/>
    <w:rsid w:val="009E5B2C"/>
    <w:rsid w:val="009E5F7E"/>
    <w:rsid w:val="009E6C8D"/>
    <w:rsid w:val="009E7097"/>
    <w:rsid w:val="009E7311"/>
    <w:rsid w:val="009E7F56"/>
    <w:rsid w:val="009F010A"/>
    <w:rsid w:val="009F0309"/>
    <w:rsid w:val="009F0745"/>
    <w:rsid w:val="009F0988"/>
    <w:rsid w:val="009F0A7F"/>
    <w:rsid w:val="009F0E53"/>
    <w:rsid w:val="009F10AC"/>
    <w:rsid w:val="009F192E"/>
    <w:rsid w:val="009F2191"/>
    <w:rsid w:val="009F2265"/>
    <w:rsid w:val="009F2422"/>
    <w:rsid w:val="009F2AC4"/>
    <w:rsid w:val="009F3012"/>
    <w:rsid w:val="009F32FF"/>
    <w:rsid w:val="009F3301"/>
    <w:rsid w:val="009F341F"/>
    <w:rsid w:val="009F3765"/>
    <w:rsid w:val="009F48C5"/>
    <w:rsid w:val="009F535A"/>
    <w:rsid w:val="009F584F"/>
    <w:rsid w:val="009F70D0"/>
    <w:rsid w:val="009F7441"/>
    <w:rsid w:val="009F7475"/>
    <w:rsid w:val="009F75D7"/>
    <w:rsid w:val="009F7A29"/>
    <w:rsid w:val="009F7B35"/>
    <w:rsid w:val="00A0003F"/>
    <w:rsid w:val="00A0059E"/>
    <w:rsid w:val="00A005A5"/>
    <w:rsid w:val="00A00CE8"/>
    <w:rsid w:val="00A00FBF"/>
    <w:rsid w:val="00A0112F"/>
    <w:rsid w:val="00A01255"/>
    <w:rsid w:val="00A013A2"/>
    <w:rsid w:val="00A0154A"/>
    <w:rsid w:val="00A01F93"/>
    <w:rsid w:val="00A01FE0"/>
    <w:rsid w:val="00A022DC"/>
    <w:rsid w:val="00A02537"/>
    <w:rsid w:val="00A0267E"/>
    <w:rsid w:val="00A02825"/>
    <w:rsid w:val="00A02C47"/>
    <w:rsid w:val="00A02F2C"/>
    <w:rsid w:val="00A0305B"/>
    <w:rsid w:val="00A031FA"/>
    <w:rsid w:val="00A03923"/>
    <w:rsid w:val="00A040C4"/>
    <w:rsid w:val="00A0417E"/>
    <w:rsid w:val="00A04299"/>
    <w:rsid w:val="00A042E3"/>
    <w:rsid w:val="00A04812"/>
    <w:rsid w:val="00A056EE"/>
    <w:rsid w:val="00A05C28"/>
    <w:rsid w:val="00A05CE0"/>
    <w:rsid w:val="00A05D2B"/>
    <w:rsid w:val="00A05DAA"/>
    <w:rsid w:val="00A06000"/>
    <w:rsid w:val="00A064C9"/>
    <w:rsid w:val="00A066F9"/>
    <w:rsid w:val="00A07044"/>
    <w:rsid w:val="00A075B3"/>
    <w:rsid w:val="00A0799D"/>
    <w:rsid w:val="00A101CE"/>
    <w:rsid w:val="00A102A0"/>
    <w:rsid w:val="00A1040F"/>
    <w:rsid w:val="00A10468"/>
    <w:rsid w:val="00A108BB"/>
    <w:rsid w:val="00A10A36"/>
    <w:rsid w:val="00A10A5F"/>
    <w:rsid w:val="00A10C18"/>
    <w:rsid w:val="00A10E7B"/>
    <w:rsid w:val="00A1111A"/>
    <w:rsid w:val="00A1141F"/>
    <w:rsid w:val="00A11426"/>
    <w:rsid w:val="00A11463"/>
    <w:rsid w:val="00A118D2"/>
    <w:rsid w:val="00A11930"/>
    <w:rsid w:val="00A11AD5"/>
    <w:rsid w:val="00A11E24"/>
    <w:rsid w:val="00A12493"/>
    <w:rsid w:val="00A12CF6"/>
    <w:rsid w:val="00A1362D"/>
    <w:rsid w:val="00A136F5"/>
    <w:rsid w:val="00A13A5A"/>
    <w:rsid w:val="00A13D37"/>
    <w:rsid w:val="00A1543D"/>
    <w:rsid w:val="00A154EE"/>
    <w:rsid w:val="00A155D4"/>
    <w:rsid w:val="00A155E8"/>
    <w:rsid w:val="00A1594F"/>
    <w:rsid w:val="00A15C6D"/>
    <w:rsid w:val="00A16894"/>
    <w:rsid w:val="00A171EC"/>
    <w:rsid w:val="00A172B7"/>
    <w:rsid w:val="00A17393"/>
    <w:rsid w:val="00A1762D"/>
    <w:rsid w:val="00A17718"/>
    <w:rsid w:val="00A179E5"/>
    <w:rsid w:val="00A208D6"/>
    <w:rsid w:val="00A213E6"/>
    <w:rsid w:val="00A21992"/>
    <w:rsid w:val="00A21AE4"/>
    <w:rsid w:val="00A21C17"/>
    <w:rsid w:val="00A21CC6"/>
    <w:rsid w:val="00A227D1"/>
    <w:rsid w:val="00A22BCB"/>
    <w:rsid w:val="00A22CF7"/>
    <w:rsid w:val="00A22D0E"/>
    <w:rsid w:val="00A22E6B"/>
    <w:rsid w:val="00A235E2"/>
    <w:rsid w:val="00A23698"/>
    <w:rsid w:val="00A23FDC"/>
    <w:rsid w:val="00A2477C"/>
    <w:rsid w:val="00A24997"/>
    <w:rsid w:val="00A24BAF"/>
    <w:rsid w:val="00A24DE4"/>
    <w:rsid w:val="00A24EFE"/>
    <w:rsid w:val="00A24F9A"/>
    <w:rsid w:val="00A25626"/>
    <w:rsid w:val="00A256B2"/>
    <w:rsid w:val="00A25C32"/>
    <w:rsid w:val="00A26201"/>
    <w:rsid w:val="00A26CE2"/>
    <w:rsid w:val="00A26EB1"/>
    <w:rsid w:val="00A2717F"/>
    <w:rsid w:val="00A2720A"/>
    <w:rsid w:val="00A274A8"/>
    <w:rsid w:val="00A2751D"/>
    <w:rsid w:val="00A278E9"/>
    <w:rsid w:val="00A27A86"/>
    <w:rsid w:val="00A30126"/>
    <w:rsid w:val="00A302F9"/>
    <w:rsid w:val="00A304C0"/>
    <w:rsid w:val="00A30627"/>
    <w:rsid w:val="00A30B98"/>
    <w:rsid w:val="00A30F77"/>
    <w:rsid w:val="00A3119B"/>
    <w:rsid w:val="00A31966"/>
    <w:rsid w:val="00A31C04"/>
    <w:rsid w:val="00A32650"/>
    <w:rsid w:val="00A32932"/>
    <w:rsid w:val="00A32A5C"/>
    <w:rsid w:val="00A32AAB"/>
    <w:rsid w:val="00A3301E"/>
    <w:rsid w:val="00A3312A"/>
    <w:rsid w:val="00A331AA"/>
    <w:rsid w:val="00A334BF"/>
    <w:rsid w:val="00A336E2"/>
    <w:rsid w:val="00A33852"/>
    <w:rsid w:val="00A3403C"/>
    <w:rsid w:val="00A34114"/>
    <w:rsid w:val="00A342F7"/>
    <w:rsid w:val="00A3477B"/>
    <w:rsid w:val="00A34A59"/>
    <w:rsid w:val="00A35151"/>
    <w:rsid w:val="00A35E40"/>
    <w:rsid w:val="00A364C6"/>
    <w:rsid w:val="00A368A9"/>
    <w:rsid w:val="00A36E61"/>
    <w:rsid w:val="00A36E93"/>
    <w:rsid w:val="00A370C0"/>
    <w:rsid w:val="00A37551"/>
    <w:rsid w:val="00A40A19"/>
    <w:rsid w:val="00A40C78"/>
    <w:rsid w:val="00A40D44"/>
    <w:rsid w:val="00A40E5D"/>
    <w:rsid w:val="00A4107C"/>
    <w:rsid w:val="00A418FB"/>
    <w:rsid w:val="00A41945"/>
    <w:rsid w:val="00A41DB2"/>
    <w:rsid w:val="00A41FF9"/>
    <w:rsid w:val="00A42119"/>
    <w:rsid w:val="00A42A1A"/>
    <w:rsid w:val="00A43051"/>
    <w:rsid w:val="00A436AC"/>
    <w:rsid w:val="00A43EC3"/>
    <w:rsid w:val="00A448C8"/>
    <w:rsid w:val="00A44FC5"/>
    <w:rsid w:val="00A45076"/>
    <w:rsid w:val="00A45227"/>
    <w:rsid w:val="00A456B0"/>
    <w:rsid w:val="00A457FF"/>
    <w:rsid w:val="00A45854"/>
    <w:rsid w:val="00A458D6"/>
    <w:rsid w:val="00A45997"/>
    <w:rsid w:val="00A45C48"/>
    <w:rsid w:val="00A45CAF"/>
    <w:rsid w:val="00A45E00"/>
    <w:rsid w:val="00A4650D"/>
    <w:rsid w:val="00A4671F"/>
    <w:rsid w:val="00A46B66"/>
    <w:rsid w:val="00A46E4C"/>
    <w:rsid w:val="00A46F67"/>
    <w:rsid w:val="00A475E2"/>
    <w:rsid w:val="00A4795D"/>
    <w:rsid w:val="00A47A42"/>
    <w:rsid w:val="00A50151"/>
    <w:rsid w:val="00A501D1"/>
    <w:rsid w:val="00A5082B"/>
    <w:rsid w:val="00A5148F"/>
    <w:rsid w:val="00A51504"/>
    <w:rsid w:val="00A5163A"/>
    <w:rsid w:val="00A51E35"/>
    <w:rsid w:val="00A52170"/>
    <w:rsid w:val="00A53138"/>
    <w:rsid w:val="00A5327A"/>
    <w:rsid w:val="00A53B57"/>
    <w:rsid w:val="00A5434C"/>
    <w:rsid w:val="00A545E0"/>
    <w:rsid w:val="00A54E37"/>
    <w:rsid w:val="00A54F96"/>
    <w:rsid w:val="00A54FBF"/>
    <w:rsid w:val="00A55307"/>
    <w:rsid w:val="00A555D1"/>
    <w:rsid w:val="00A55EA5"/>
    <w:rsid w:val="00A5602A"/>
    <w:rsid w:val="00A57170"/>
    <w:rsid w:val="00A57171"/>
    <w:rsid w:val="00A575D1"/>
    <w:rsid w:val="00A57B45"/>
    <w:rsid w:val="00A57C22"/>
    <w:rsid w:val="00A57CAD"/>
    <w:rsid w:val="00A57DFA"/>
    <w:rsid w:val="00A60CBA"/>
    <w:rsid w:val="00A60E22"/>
    <w:rsid w:val="00A616AA"/>
    <w:rsid w:val="00A617AA"/>
    <w:rsid w:val="00A622F9"/>
    <w:rsid w:val="00A624B5"/>
    <w:rsid w:val="00A62E16"/>
    <w:rsid w:val="00A630DB"/>
    <w:rsid w:val="00A63467"/>
    <w:rsid w:val="00A6366F"/>
    <w:rsid w:val="00A63693"/>
    <w:rsid w:val="00A636F2"/>
    <w:rsid w:val="00A639EC"/>
    <w:rsid w:val="00A643C1"/>
    <w:rsid w:val="00A645B2"/>
    <w:rsid w:val="00A645C9"/>
    <w:rsid w:val="00A6501C"/>
    <w:rsid w:val="00A65089"/>
    <w:rsid w:val="00A650F3"/>
    <w:rsid w:val="00A65138"/>
    <w:rsid w:val="00A652E8"/>
    <w:rsid w:val="00A65DD7"/>
    <w:rsid w:val="00A66184"/>
    <w:rsid w:val="00A66C55"/>
    <w:rsid w:val="00A67044"/>
    <w:rsid w:val="00A67124"/>
    <w:rsid w:val="00A67CB1"/>
    <w:rsid w:val="00A67EAB"/>
    <w:rsid w:val="00A67EBF"/>
    <w:rsid w:val="00A7000C"/>
    <w:rsid w:val="00A70DFA"/>
    <w:rsid w:val="00A70E2E"/>
    <w:rsid w:val="00A71B28"/>
    <w:rsid w:val="00A72307"/>
    <w:rsid w:val="00A72C40"/>
    <w:rsid w:val="00A7332D"/>
    <w:rsid w:val="00A73C68"/>
    <w:rsid w:val="00A73F23"/>
    <w:rsid w:val="00A74123"/>
    <w:rsid w:val="00A7412A"/>
    <w:rsid w:val="00A74218"/>
    <w:rsid w:val="00A746BE"/>
    <w:rsid w:val="00A74B97"/>
    <w:rsid w:val="00A74F89"/>
    <w:rsid w:val="00A75421"/>
    <w:rsid w:val="00A760F7"/>
    <w:rsid w:val="00A76848"/>
    <w:rsid w:val="00A76A4F"/>
    <w:rsid w:val="00A76C01"/>
    <w:rsid w:val="00A77B15"/>
    <w:rsid w:val="00A77E0B"/>
    <w:rsid w:val="00A77F34"/>
    <w:rsid w:val="00A803A4"/>
    <w:rsid w:val="00A803F4"/>
    <w:rsid w:val="00A8057F"/>
    <w:rsid w:val="00A8058F"/>
    <w:rsid w:val="00A80936"/>
    <w:rsid w:val="00A80DB0"/>
    <w:rsid w:val="00A80E9D"/>
    <w:rsid w:val="00A81244"/>
    <w:rsid w:val="00A81458"/>
    <w:rsid w:val="00A81501"/>
    <w:rsid w:val="00A81B48"/>
    <w:rsid w:val="00A81BC3"/>
    <w:rsid w:val="00A8222D"/>
    <w:rsid w:val="00A82368"/>
    <w:rsid w:val="00A824CA"/>
    <w:rsid w:val="00A826F4"/>
    <w:rsid w:val="00A827BF"/>
    <w:rsid w:val="00A83114"/>
    <w:rsid w:val="00A83A21"/>
    <w:rsid w:val="00A83A24"/>
    <w:rsid w:val="00A83A66"/>
    <w:rsid w:val="00A83B60"/>
    <w:rsid w:val="00A84273"/>
    <w:rsid w:val="00A84761"/>
    <w:rsid w:val="00A849BC"/>
    <w:rsid w:val="00A84D45"/>
    <w:rsid w:val="00A8543D"/>
    <w:rsid w:val="00A85A60"/>
    <w:rsid w:val="00A85AC7"/>
    <w:rsid w:val="00A85AE2"/>
    <w:rsid w:val="00A85B7D"/>
    <w:rsid w:val="00A85DA0"/>
    <w:rsid w:val="00A861C5"/>
    <w:rsid w:val="00A861FF"/>
    <w:rsid w:val="00A86B0C"/>
    <w:rsid w:val="00A86C53"/>
    <w:rsid w:val="00A871A4"/>
    <w:rsid w:val="00A8767B"/>
    <w:rsid w:val="00A878D9"/>
    <w:rsid w:val="00A87E9C"/>
    <w:rsid w:val="00A903FB"/>
    <w:rsid w:val="00A90540"/>
    <w:rsid w:val="00A90678"/>
    <w:rsid w:val="00A9156A"/>
    <w:rsid w:val="00A919D3"/>
    <w:rsid w:val="00A91A45"/>
    <w:rsid w:val="00A92384"/>
    <w:rsid w:val="00A924D2"/>
    <w:rsid w:val="00A92918"/>
    <w:rsid w:val="00A92BA0"/>
    <w:rsid w:val="00A92CA4"/>
    <w:rsid w:val="00A92D03"/>
    <w:rsid w:val="00A93804"/>
    <w:rsid w:val="00A93CAA"/>
    <w:rsid w:val="00A94378"/>
    <w:rsid w:val="00A947AD"/>
    <w:rsid w:val="00A94894"/>
    <w:rsid w:val="00A95072"/>
    <w:rsid w:val="00A95457"/>
    <w:rsid w:val="00A958C6"/>
    <w:rsid w:val="00A95BBE"/>
    <w:rsid w:val="00A95D50"/>
    <w:rsid w:val="00A96789"/>
    <w:rsid w:val="00A9685F"/>
    <w:rsid w:val="00A96883"/>
    <w:rsid w:val="00A9710E"/>
    <w:rsid w:val="00A9725F"/>
    <w:rsid w:val="00A974F8"/>
    <w:rsid w:val="00A9796C"/>
    <w:rsid w:val="00A97B5D"/>
    <w:rsid w:val="00A97BC1"/>
    <w:rsid w:val="00A97D41"/>
    <w:rsid w:val="00AA0284"/>
    <w:rsid w:val="00AA0443"/>
    <w:rsid w:val="00AA0B23"/>
    <w:rsid w:val="00AA0D52"/>
    <w:rsid w:val="00AA189A"/>
    <w:rsid w:val="00AA2082"/>
    <w:rsid w:val="00AA21AA"/>
    <w:rsid w:val="00AA2310"/>
    <w:rsid w:val="00AA2AF9"/>
    <w:rsid w:val="00AA2F8E"/>
    <w:rsid w:val="00AA3874"/>
    <w:rsid w:val="00AA3C57"/>
    <w:rsid w:val="00AA4297"/>
    <w:rsid w:val="00AA4519"/>
    <w:rsid w:val="00AA4724"/>
    <w:rsid w:val="00AA4A36"/>
    <w:rsid w:val="00AA4BED"/>
    <w:rsid w:val="00AA4FBD"/>
    <w:rsid w:val="00AA510F"/>
    <w:rsid w:val="00AA5192"/>
    <w:rsid w:val="00AA52DD"/>
    <w:rsid w:val="00AA52FB"/>
    <w:rsid w:val="00AA5AC2"/>
    <w:rsid w:val="00AA5AF2"/>
    <w:rsid w:val="00AA6CF5"/>
    <w:rsid w:val="00AA7610"/>
    <w:rsid w:val="00AA77E8"/>
    <w:rsid w:val="00AB047D"/>
    <w:rsid w:val="00AB0867"/>
    <w:rsid w:val="00AB08F9"/>
    <w:rsid w:val="00AB0C44"/>
    <w:rsid w:val="00AB10E8"/>
    <w:rsid w:val="00AB126D"/>
    <w:rsid w:val="00AB1D0C"/>
    <w:rsid w:val="00AB23E5"/>
    <w:rsid w:val="00AB2449"/>
    <w:rsid w:val="00AB2C01"/>
    <w:rsid w:val="00AB2DB1"/>
    <w:rsid w:val="00AB362A"/>
    <w:rsid w:val="00AB42AB"/>
    <w:rsid w:val="00AB444C"/>
    <w:rsid w:val="00AB4B64"/>
    <w:rsid w:val="00AB4BDF"/>
    <w:rsid w:val="00AB5B26"/>
    <w:rsid w:val="00AB647E"/>
    <w:rsid w:val="00AB69F4"/>
    <w:rsid w:val="00AB6A10"/>
    <w:rsid w:val="00AB6AC5"/>
    <w:rsid w:val="00AB6C8A"/>
    <w:rsid w:val="00AB718F"/>
    <w:rsid w:val="00AB73D0"/>
    <w:rsid w:val="00AB7A45"/>
    <w:rsid w:val="00AC011D"/>
    <w:rsid w:val="00AC0408"/>
    <w:rsid w:val="00AC06BC"/>
    <w:rsid w:val="00AC0959"/>
    <w:rsid w:val="00AC09E2"/>
    <w:rsid w:val="00AC0F10"/>
    <w:rsid w:val="00AC112C"/>
    <w:rsid w:val="00AC1639"/>
    <w:rsid w:val="00AC1BCA"/>
    <w:rsid w:val="00AC24D4"/>
    <w:rsid w:val="00AC27E2"/>
    <w:rsid w:val="00AC2BC0"/>
    <w:rsid w:val="00AC2E37"/>
    <w:rsid w:val="00AC314A"/>
    <w:rsid w:val="00AC3369"/>
    <w:rsid w:val="00AC3611"/>
    <w:rsid w:val="00AC3A8C"/>
    <w:rsid w:val="00AC3C18"/>
    <w:rsid w:val="00AC3F37"/>
    <w:rsid w:val="00AC432C"/>
    <w:rsid w:val="00AC484A"/>
    <w:rsid w:val="00AC4E14"/>
    <w:rsid w:val="00AC4E40"/>
    <w:rsid w:val="00AC508E"/>
    <w:rsid w:val="00AC5777"/>
    <w:rsid w:val="00AC60A6"/>
    <w:rsid w:val="00AC6343"/>
    <w:rsid w:val="00AC65E7"/>
    <w:rsid w:val="00AC6710"/>
    <w:rsid w:val="00AC68C9"/>
    <w:rsid w:val="00AC693F"/>
    <w:rsid w:val="00AC6CD5"/>
    <w:rsid w:val="00AC6D80"/>
    <w:rsid w:val="00AC6FE9"/>
    <w:rsid w:val="00AC71E0"/>
    <w:rsid w:val="00AC73BF"/>
    <w:rsid w:val="00AC74D0"/>
    <w:rsid w:val="00AC7E2D"/>
    <w:rsid w:val="00AD0068"/>
    <w:rsid w:val="00AD01EE"/>
    <w:rsid w:val="00AD0374"/>
    <w:rsid w:val="00AD0483"/>
    <w:rsid w:val="00AD05D3"/>
    <w:rsid w:val="00AD0758"/>
    <w:rsid w:val="00AD0C32"/>
    <w:rsid w:val="00AD0CA2"/>
    <w:rsid w:val="00AD0EB1"/>
    <w:rsid w:val="00AD161A"/>
    <w:rsid w:val="00AD1EAC"/>
    <w:rsid w:val="00AD1EB2"/>
    <w:rsid w:val="00AD23EA"/>
    <w:rsid w:val="00AD2928"/>
    <w:rsid w:val="00AD2ABC"/>
    <w:rsid w:val="00AD2E9F"/>
    <w:rsid w:val="00AD358D"/>
    <w:rsid w:val="00AD3709"/>
    <w:rsid w:val="00AD382E"/>
    <w:rsid w:val="00AD3B4D"/>
    <w:rsid w:val="00AD3C85"/>
    <w:rsid w:val="00AD3F6B"/>
    <w:rsid w:val="00AD406C"/>
    <w:rsid w:val="00AD44A7"/>
    <w:rsid w:val="00AD45A9"/>
    <w:rsid w:val="00AD4F42"/>
    <w:rsid w:val="00AD5359"/>
    <w:rsid w:val="00AD5746"/>
    <w:rsid w:val="00AD595E"/>
    <w:rsid w:val="00AD5BBD"/>
    <w:rsid w:val="00AD6793"/>
    <w:rsid w:val="00AD6CAB"/>
    <w:rsid w:val="00AD6CFC"/>
    <w:rsid w:val="00AD6F11"/>
    <w:rsid w:val="00AD779D"/>
    <w:rsid w:val="00AD794E"/>
    <w:rsid w:val="00AD7FF1"/>
    <w:rsid w:val="00AE0292"/>
    <w:rsid w:val="00AE0793"/>
    <w:rsid w:val="00AE07A1"/>
    <w:rsid w:val="00AE0896"/>
    <w:rsid w:val="00AE12B2"/>
    <w:rsid w:val="00AE1676"/>
    <w:rsid w:val="00AE1712"/>
    <w:rsid w:val="00AE1928"/>
    <w:rsid w:val="00AE1DCC"/>
    <w:rsid w:val="00AE245D"/>
    <w:rsid w:val="00AE2460"/>
    <w:rsid w:val="00AE251D"/>
    <w:rsid w:val="00AE2ACF"/>
    <w:rsid w:val="00AE2AD4"/>
    <w:rsid w:val="00AE2B40"/>
    <w:rsid w:val="00AE3076"/>
    <w:rsid w:val="00AE36DD"/>
    <w:rsid w:val="00AE3719"/>
    <w:rsid w:val="00AE38AA"/>
    <w:rsid w:val="00AE391A"/>
    <w:rsid w:val="00AE3EAF"/>
    <w:rsid w:val="00AE3F2E"/>
    <w:rsid w:val="00AE3F5C"/>
    <w:rsid w:val="00AE41C4"/>
    <w:rsid w:val="00AE4D0A"/>
    <w:rsid w:val="00AE4D57"/>
    <w:rsid w:val="00AE4EF0"/>
    <w:rsid w:val="00AE519F"/>
    <w:rsid w:val="00AE551A"/>
    <w:rsid w:val="00AE56F6"/>
    <w:rsid w:val="00AE6124"/>
    <w:rsid w:val="00AE6B4D"/>
    <w:rsid w:val="00AE73FF"/>
    <w:rsid w:val="00AE7684"/>
    <w:rsid w:val="00AE7E6E"/>
    <w:rsid w:val="00AE7F93"/>
    <w:rsid w:val="00AF0109"/>
    <w:rsid w:val="00AF0258"/>
    <w:rsid w:val="00AF096E"/>
    <w:rsid w:val="00AF1033"/>
    <w:rsid w:val="00AF13E5"/>
    <w:rsid w:val="00AF187B"/>
    <w:rsid w:val="00AF1D2A"/>
    <w:rsid w:val="00AF1F76"/>
    <w:rsid w:val="00AF30A5"/>
    <w:rsid w:val="00AF3610"/>
    <w:rsid w:val="00AF39C9"/>
    <w:rsid w:val="00AF4396"/>
    <w:rsid w:val="00AF4B6B"/>
    <w:rsid w:val="00AF50C1"/>
    <w:rsid w:val="00AF53E8"/>
    <w:rsid w:val="00AF5451"/>
    <w:rsid w:val="00AF54CE"/>
    <w:rsid w:val="00AF5A02"/>
    <w:rsid w:val="00AF5EF2"/>
    <w:rsid w:val="00AF61E9"/>
    <w:rsid w:val="00AF627A"/>
    <w:rsid w:val="00AF659D"/>
    <w:rsid w:val="00AF6651"/>
    <w:rsid w:val="00AF6666"/>
    <w:rsid w:val="00B0080D"/>
    <w:rsid w:val="00B00898"/>
    <w:rsid w:val="00B00C5E"/>
    <w:rsid w:val="00B00D0F"/>
    <w:rsid w:val="00B011E8"/>
    <w:rsid w:val="00B01D7F"/>
    <w:rsid w:val="00B01FF9"/>
    <w:rsid w:val="00B028AE"/>
    <w:rsid w:val="00B02D8C"/>
    <w:rsid w:val="00B034C2"/>
    <w:rsid w:val="00B03B53"/>
    <w:rsid w:val="00B03C68"/>
    <w:rsid w:val="00B03D12"/>
    <w:rsid w:val="00B03F73"/>
    <w:rsid w:val="00B04343"/>
    <w:rsid w:val="00B0514A"/>
    <w:rsid w:val="00B051BF"/>
    <w:rsid w:val="00B057CE"/>
    <w:rsid w:val="00B059CC"/>
    <w:rsid w:val="00B05D1A"/>
    <w:rsid w:val="00B06A97"/>
    <w:rsid w:val="00B06BB5"/>
    <w:rsid w:val="00B06D3A"/>
    <w:rsid w:val="00B07866"/>
    <w:rsid w:val="00B07A7B"/>
    <w:rsid w:val="00B07D7E"/>
    <w:rsid w:val="00B07E5C"/>
    <w:rsid w:val="00B1030A"/>
    <w:rsid w:val="00B10924"/>
    <w:rsid w:val="00B10A8C"/>
    <w:rsid w:val="00B10BC3"/>
    <w:rsid w:val="00B10CCE"/>
    <w:rsid w:val="00B10EDE"/>
    <w:rsid w:val="00B11033"/>
    <w:rsid w:val="00B11253"/>
    <w:rsid w:val="00B115BA"/>
    <w:rsid w:val="00B11899"/>
    <w:rsid w:val="00B118BB"/>
    <w:rsid w:val="00B118CB"/>
    <w:rsid w:val="00B118F7"/>
    <w:rsid w:val="00B11BA0"/>
    <w:rsid w:val="00B11FE2"/>
    <w:rsid w:val="00B12700"/>
    <w:rsid w:val="00B12F1A"/>
    <w:rsid w:val="00B14010"/>
    <w:rsid w:val="00B140F7"/>
    <w:rsid w:val="00B143AF"/>
    <w:rsid w:val="00B14AE2"/>
    <w:rsid w:val="00B14D2F"/>
    <w:rsid w:val="00B14E3C"/>
    <w:rsid w:val="00B15391"/>
    <w:rsid w:val="00B159DE"/>
    <w:rsid w:val="00B15A49"/>
    <w:rsid w:val="00B15BFC"/>
    <w:rsid w:val="00B15C5B"/>
    <w:rsid w:val="00B15DBA"/>
    <w:rsid w:val="00B15DF0"/>
    <w:rsid w:val="00B15E9C"/>
    <w:rsid w:val="00B1604A"/>
    <w:rsid w:val="00B16455"/>
    <w:rsid w:val="00B1689F"/>
    <w:rsid w:val="00B16AB6"/>
    <w:rsid w:val="00B16FFA"/>
    <w:rsid w:val="00B1704B"/>
    <w:rsid w:val="00B17704"/>
    <w:rsid w:val="00B178F3"/>
    <w:rsid w:val="00B203C8"/>
    <w:rsid w:val="00B20B9D"/>
    <w:rsid w:val="00B21028"/>
    <w:rsid w:val="00B21ED1"/>
    <w:rsid w:val="00B22A45"/>
    <w:rsid w:val="00B22F87"/>
    <w:rsid w:val="00B23172"/>
    <w:rsid w:val="00B232E1"/>
    <w:rsid w:val="00B234F5"/>
    <w:rsid w:val="00B23562"/>
    <w:rsid w:val="00B237C5"/>
    <w:rsid w:val="00B23DEC"/>
    <w:rsid w:val="00B240C0"/>
    <w:rsid w:val="00B242A0"/>
    <w:rsid w:val="00B243FF"/>
    <w:rsid w:val="00B254C2"/>
    <w:rsid w:val="00B25C63"/>
    <w:rsid w:val="00B260E2"/>
    <w:rsid w:val="00B264FA"/>
    <w:rsid w:val="00B27130"/>
    <w:rsid w:val="00B278E9"/>
    <w:rsid w:val="00B27BDF"/>
    <w:rsid w:val="00B30249"/>
    <w:rsid w:val="00B30355"/>
    <w:rsid w:val="00B30460"/>
    <w:rsid w:val="00B306F7"/>
    <w:rsid w:val="00B30951"/>
    <w:rsid w:val="00B30A5A"/>
    <w:rsid w:val="00B31023"/>
    <w:rsid w:val="00B314B3"/>
    <w:rsid w:val="00B3162D"/>
    <w:rsid w:val="00B3174A"/>
    <w:rsid w:val="00B3192C"/>
    <w:rsid w:val="00B3231D"/>
    <w:rsid w:val="00B32ECC"/>
    <w:rsid w:val="00B3323B"/>
    <w:rsid w:val="00B33902"/>
    <w:rsid w:val="00B34102"/>
    <w:rsid w:val="00B344C5"/>
    <w:rsid w:val="00B348B8"/>
    <w:rsid w:val="00B34C99"/>
    <w:rsid w:val="00B35089"/>
    <w:rsid w:val="00B36927"/>
    <w:rsid w:val="00B3715A"/>
    <w:rsid w:val="00B3749D"/>
    <w:rsid w:val="00B377FF"/>
    <w:rsid w:val="00B37F49"/>
    <w:rsid w:val="00B407D7"/>
    <w:rsid w:val="00B40843"/>
    <w:rsid w:val="00B40ECE"/>
    <w:rsid w:val="00B41CA4"/>
    <w:rsid w:val="00B41E6C"/>
    <w:rsid w:val="00B41FC9"/>
    <w:rsid w:val="00B42053"/>
    <w:rsid w:val="00B420CC"/>
    <w:rsid w:val="00B42228"/>
    <w:rsid w:val="00B423FC"/>
    <w:rsid w:val="00B42721"/>
    <w:rsid w:val="00B4287A"/>
    <w:rsid w:val="00B42A6F"/>
    <w:rsid w:val="00B43164"/>
    <w:rsid w:val="00B4317A"/>
    <w:rsid w:val="00B4339E"/>
    <w:rsid w:val="00B433AD"/>
    <w:rsid w:val="00B434C1"/>
    <w:rsid w:val="00B43649"/>
    <w:rsid w:val="00B43CA5"/>
    <w:rsid w:val="00B43ED0"/>
    <w:rsid w:val="00B44563"/>
    <w:rsid w:val="00B44654"/>
    <w:rsid w:val="00B449B7"/>
    <w:rsid w:val="00B44F2E"/>
    <w:rsid w:val="00B45F49"/>
    <w:rsid w:val="00B45FA8"/>
    <w:rsid w:val="00B460B4"/>
    <w:rsid w:val="00B461A1"/>
    <w:rsid w:val="00B46D95"/>
    <w:rsid w:val="00B475D5"/>
    <w:rsid w:val="00B47785"/>
    <w:rsid w:val="00B47A65"/>
    <w:rsid w:val="00B47ECB"/>
    <w:rsid w:val="00B5020C"/>
    <w:rsid w:val="00B50546"/>
    <w:rsid w:val="00B50A0C"/>
    <w:rsid w:val="00B50EB1"/>
    <w:rsid w:val="00B5103A"/>
    <w:rsid w:val="00B51157"/>
    <w:rsid w:val="00B512D4"/>
    <w:rsid w:val="00B51BEF"/>
    <w:rsid w:val="00B51D74"/>
    <w:rsid w:val="00B52102"/>
    <w:rsid w:val="00B52481"/>
    <w:rsid w:val="00B52916"/>
    <w:rsid w:val="00B52B38"/>
    <w:rsid w:val="00B52E28"/>
    <w:rsid w:val="00B531A5"/>
    <w:rsid w:val="00B5341D"/>
    <w:rsid w:val="00B534E1"/>
    <w:rsid w:val="00B53A5A"/>
    <w:rsid w:val="00B548AF"/>
    <w:rsid w:val="00B55123"/>
    <w:rsid w:val="00B552A7"/>
    <w:rsid w:val="00B552D3"/>
    <w:rsid w:val="00B5554F"/>
    <w:rsid w:val="00B55BB5"/>
    <w:rsid w:val="00B560CA"/>
    <w:rsid w:val="00B563D1"/>
    <w:rsid w:val="00B56611"/>
    <w:rsid w:val="00B56B3F"/>
    <w:rsid w:val="00B56D8A"/>
    <w:rsid w:val="00B56DB1"/>
    <w:rsid w:val="00B5710E"/>
    <w:rsid w:val="00B57A81"/>
    <w:rsid w:val="00B57EFD"/>
    <w:rsid w:val="00B60891"/>
    <w:rsid w:val="00B60F19"/>
    <w:rsid w:val="00B617B4"/>
    <w:rsid w:val="00B618E7"/>
    <w:rsid w:val="00B61A8A"/>
    <w:rsid w:val="00B62881"/>
    <w:rsid w:val="00B62B73"/>
    <w:rsid w:val="00B62DE8"/>
    <w:rsid w:val="00B63368"/>
    <w:rsid w:val="00B63E41"/>
    <w:rsid w:val="00B64450"/>
    <w:rsid w:val="00B649F0"/>
    <w:rsid w:val="00B651D1"/>
    <w:rsid w:val="00B65277"/>
    <w:rsid w:val="00B653A9"/>
    <w:rsid w:val="00B65B0E"/>
    <w:rsid w:val="00B65F00"/>
    <w:rsid w:val="00B65F58"/>
    <w:rsid w:val="00B65FCB"/>
    <w:rsid w:val="00B6659A"/>
    <w:rsid w:val="00B669D0"/>
    <w:rsid w:val="00B66E8D"/>
    <w:rsid w:val="00B672BA"/>
    <w:rsid w:val="00B673D1"/>
    <w:rsid w:val="00B678B4"/>
    <w:rsid w:val="00B67E14"/>
    <w:rsid w:val="00B67E88"/>
    <w:rsid w:val="00B7000C"/>
    <w:rsid w:val="00B707D1"/>
    <w:rsid w:val="00B70A99"/>
    <w:rsid w:val="00B70DA2"/>
    <w:rsid w:val="00B7127A"/>
    <w:rsid w:val="00B71781"/>
    <w:rsid w:val="00B718DE"/>
    <w:rsid w:val="00B722DE"/>
    <w:rsid w:val="00B7239A"/>
    <w:rsid w:val="00B7278F"/>
    <w:rsid w:val="00B72C63"/>
    <w:rsid w:val="00B7329F"/>
    <w:rsid w:val="00B7368F"/>
    <w:rsid w:val="00B7394D"/>
    <w:rsid w:val="00B73CBD"/>
    <w:rsid w:val="00B73FB3"/>
    <w:rsid w:val="00B7432A"/>
    <w:rsid w:val="00B74584"/>
    <w:rsid w:val="00B7467E"/>
    <w:rsid w:val="00B74AAD"/>
    <w:rsid w:val="00B753BF"/>
    <w:rsid w:val="00B755AC"/>
    <w:rsid w:val="00B75A1D"/>
    <w:rsid w:val="00B75B2A"/>
    <w:rsid w:val="00B75BCC"/>
    <w:rsid w:val="00B75C6C"/>
    <w:rsid w:val="00B75F30"/>
    <w:rsid w:val="00B75F79"/>
    <w:rsid w:val="00B76E53"/>
    <w:rsid w:val="00B76ED1"/>
    <w:rsid w:val="00B7764F"/>
    <w:rsid w:val="00B77B13"/>
    <w:rsid w:val="00B80206"/>
    <w:rsid w:val="00B80328"/>
    <w:rsid w:val="00B805FE"/>
    <w:rsid w:val="00B8092C"/>
    <w:rsid w:val="00B80C11"/>
    <w:rsid w:val="00B822E6"/>
    <w:rsid w:val="00B830BE"/>
    <w:rsid w:val="00B832D8"/>
    <w:rsid w:val="00B83533"/>
    <w:rsid w:val="00B8381C"/>
    <w:rsid w:val="00B83958"/>
    <w:rsid w:val="00B839D3"/>
    <w:rsid w:val="00B83DCE"/>
    <w:rsid w:val="00B840AA"/>
    <w:rsid w:val="00B843EE"/>
    <w:rsid w:val="00B84558"/>
    <w:rsid w:val="00B84596"/>
    <w:rsid w:val="00B84777"/>
    <w:rsid w:val="00B8498F"/>
    <w:rsid w:val="00B8523B"/>
    <w:rsid w:val="00B859CC"/>
    <w:rsid w:val="00B86858"/>
    <w:rsid w:val="00B87590"/>
    <w:rsid w:val="00B875E7"/>
    <w:rsid w:val="00B87E8D"/>
    <w:rsid w:val="00B90026"/>
    <w:rsid w:val="00B90269"/>
    <w:rsid w:val="00B90525"/>
    <w:rsid w:val="00B908EB"/>
    <w:rsid w:val="00B90D86"/>
    <w:rsid w:val="00B91115"/>
    <w:rsid w:val="00B913B5"/>
    <w:rsid w:val="00B91508"/>
    <w:rsid w:val="00B9170D"/>
    <w:rsid w:val="00B91964"/>
    <w:rsid w:val="00B919A0"/>
    <w:rsid w:val="00B91AA1"/>
    <w:rsid w:val="00B91DB9"/>
    <w:rsid w:val="00B91EC3"/>
    <w:rsid w:val="00B921E2"/>
    <w:rsid w:val="00B922D4"/>
    <w:rsid w:val="00B925B6"/>
    <w:rsid w:val="00B92C67"/>
    <w:rsid w:val="00B92E12"/>
    <w:rsid w:val="00B93284"/>
    <w:rsid w:val="00B932CF"/>
    <w:rsid w:val="00B93601"/>
    <w:rsid w:val="00B93817"/>
    <w:rsid w:val="00B93CB1"/>
    <w:rsid w:val="00B93EC9"/>
    <w:rsid w:val="00B940D4"/>
    <w:rsid w:val="00B942C7"/>
    <w:rsid w:val="00B942FC"/>
    <w:rsid w:val="00B9467D"/>
    <w:rsid w:val="00B94A2C"/>
    <w:rsid w:val="00B952BC"/>
    <w:rsid w:val="00B956B4"/>
    <w:rsid w:val="00B95906"/>
    <w:rsid w:val="00B95A6A"/>
    <w:rsid w:val="00B95E37"/>
    <w:rsid w:val="00B96176"/>
    <w:rsid w:val="00B96381"/>
    <w:rsid w:val="00B96908"/>
    <w:rsid w:val="00B96D01"/>
    <w:rsid w:val="00B96DEB"/>
    <w:rsid w:val="00B96F42"/>
    <w:rsid w:val="00B9755D"/>
    <w:rsid w:val="00B97D07"/>
    <w:rsid w:val="00B97DE6"/>
    <w:rsid w:val="00B97E85"/>
    <w:rsid w:val="00BA0134"/>
    <w:rsid w:val="00BA0495"/>
    <w:rsid w:val="00BA04BF"/>
    <w:rsid w:val="00BA08AA"/>
    <w:rsid w:val="00BA0C07"/>
    <w:rsid w:val="00BA0EFB"/>
    <w:rsid w:val="00BA11F3"/>
    <w:rsid w:val="00BA1614"/>
    <w:rsid w:val="00BA1AE5"/>
    <w:rsid w:val="00BA1DA0"/>
    <w:rsid w:val="00BA21D1"/>
    <w:rsid w:val="00BA27AE"/>
    <w:rsid w:val="00BA28F4"/>
    <w:rsid w:val="00BA2E4B"/>
    <w:rsid w:val="00BA3519"/>
    <w:rsid w:val="00BA354A"/>
    <w:rsid w:val="00BA370C"/>
    <w:rsid w:val="00BA3763"/>
    <w:rsid w:val="00BA3CA5"/>
    <w:rsid w:val="00BA3DB6"/>
    <w:rsid w:val="00BA3E9E"/>
    <w:rsid w:val="00BA4429"/>
    <w:rsid w:val="00BA45C1"/>
    <w:rsid w:val="00BA49AF"/>
    <w:rsid w:val="00BA4A6D"/>
    <w:rsid w:val="00BA4ADE"/>
    <w:rsid w:val="00BA5085"/>
    <w:rsid w:val="00BA51A4"/>
    <w:rsid w:val="00BA5DFC"/>
    <w:rsid w:val="00BA6350"/>
    <w:rsid w:val="00BA63A1"/>
    <w:rsid w:val="00BA6AB9"/>
    <w:rsid w:val="00BA6EC3"/>
    <w:rsid w:val="00BA7254"/>
    <w:rsid w:val="00BA7560"/>
    <w:rsid w:val="00BA772A"/>
    <w:rsid w:val="00BA79A0"/>
    <w:rsid w:val="00BA7EED"/>
    <w:rsid w:val="00BB0887"/>
    <w:rsid w:val="00BB0E73"/>
    <w:rsid w:val="00BB1387"/>
    <w:rsid w:val="00BB153B"/>
    <w:rsid w:val="00BB1D0F"/>
    <w:rsid w:val="00BB1F2A"/>
    <w:rsid w:val="00BB1FE1"/>
    <w:rsid w:val="00BB20C7"/>
    <w:rsid w:val="00BB2972"/>
    <w:rsid w:val="00BB29D1"/>
    <w:rsid w:val="00BB314A"/>
    <w:rsid w:val="00BB3671"/>
    <w:rsid w:val="00BB3727"/>
    <w:rsid w:val="00BB3BBF"/>
    <w:rsid w:val="00BB3C87"/>
    <w:rsid w:val="00BB4531"/>
    <w:rsid w:val="00BB4B42"/>
    <w:rsid w:val="00BB5098"/>
    <w:rsid w:val="00BB5404"/>
    <w:rsid w:val="00BB64AC"/>
    <w:rsid w:val="00BB677B"/>
    <w:rsid w:val="00BB6C3F"/>
    <w:rsid w:val="00BB6D22"/>
    <w:rsid w:val="00BB79E2"/>
    <w:rsid w:val="00BB7D64"/>
    <w:rsid w:val="00BC0171"/>
    <w:rsid w:val="00BC042A"/>
    <w:rsid w:val="00BC0598"/>
    <w:rsid w:val="00BC0C3E"/>
    <w:rsid w:val="00BC0E86"/>
    <w:rsid w:val="00BC1012"/>
    <w:rsid w:val="00BC1BCD"/>
    <w:rsid w:val="00BC1FDE"/>
    <w:rsid w:val="00BC2021"/>
    <w:rsid w:val="00BC22F0"/>
    <w:rsid w:val="00BC26D8"/>
    <w:rsid w:val="00BC2921"/>
    <w:rsid w:val="00BC29CD"/>
    <w:rsid w:val="00BC29EA"/>
    <w:rsid w:val="00BC2C0D"/>
    <w:rsid w:val="00BC2FFA"/>
    <w:rsid w:val="00BC34EB"/>
    <w:rsid w:val="00BC4323"/>
    <w:rsid w:val="00BC44C4"/>
    <w:rsid w:val="00BC4DF5"/>
    <w:rsid w:val="00BC5502"/>
    <w:rsid w:val="00BC5CFC"/>
    <w:rsid w:val="00BC5F59"/>
    <w:rsid w:val="00BC6F94"/>
    <w:rsid w:val="00BC7953"/>
    <w:rsid w:val="00BC7DBC"/>
    <w:rsid w:val="00BD0341"/>
    <w:rsid w:val="00BD06C7"/>
    <w:rsid w:val="00BD0B7D"/>
    <w:rsid w:val="00BD0C20"/>
    <w:rsid w:val="00BD12E7"/>
    <w:rsid w:val="00BD1C50"/>
    <w:rsid w:val="00BD2078"/>
    <w:rsid w:val="00BD2EF2"/>
    <w:rsid w:val="00BD2FF1"/>
    <w:rsid w:val="00BD3925"/>
    <w:rsid w:val="00BD3A86"/>
    <w:rsid w:val="00BD4371"/>
    <w:rsid w:val="00BD4542"/>
    <w:rsid w:val="00BD466F"/>
    <w:rsid w:val="00BD5049"/>
    <w:rsid w:val="00BD5699"/>
    <w:rsid w:val="00BD5AD0"/>
    <w:rsid w:val="00BD5DA9"/>
    <w:rsid w:val="00BD5E81"/>
    <w:rsid w:val="00BD6004"/>
    <w:rsid w:val="00BD6257"/>
    <w:rsid w:val="00BD6B2D"/>
    <w:rsid w:val="00BD6F78"/>
    <w:rsid w:val="00BD70BD"/>
    <w:rsid w:val="00BD719D"/>
    <w:rsid w:val="00BD79AA"/>
    <w:rsid w:val="00BE00E9"/>
    <w:rsid w:val="00BE0172"/>
    <w:rsid w:val="00BE0258"/>
    <w:rsid w:val="00BE0271"/>
    <w:rsid w:val="00BE0B02"/>
    <w:rsid w:val="00BE0E2F"/>
    <w:rsid w:val="00BE0EA6"/>
    <w:rsid w:val="00BE1447"/>
    <w:rsid w:val="00BE1831"/>
    <w:rsid w:val="00BE1EC8"/>
    <w:rsid w:val="00BE2148"/>
    <w:rsid w:val="00BE215D"/>
    <w:rsid w:val="00BE27C1"/>
    <w:rsid w:val="00BE2A67"/>
    <w:rsid w:val="00BE2DB1"/>
    <w:rsid w:val="00BE31D2"/>
    <w:rsid w:val="00BE37E5"/>
    <w:rsid w:val="00BE3C1E"/>
    <w:rsid w:val="00BE3C71"/>
    <w:rsid w:val="00BE4DE1"/>
    <w:rsid w:val="00BE4E01"/>
    <w:rsid w:val="00BE51C4"/>
    <w:rsid w:val="00BE5587"/>
    <w:rsid w:val="00BE57DD"/>
    <w:rsid w:val="00BE59CB"/>
    <w:rsid w:val="00BE611E"/>
    <w:rsid w:val="00BE748B"/>
    <w:rsid w:val="00BE74DA"/>
    <w:rsid w:val="00BE76CB"/>
    <w:rsid w:val="00BE774D"/>
    <w:rsid w:val="00BE7A15"/>
    <w:rsid w:val="00BE7A59"/>
    <w:rsid w:val="00BE8789"/>
    <w:rsid w:val="00BF0A1F"/>
    <w:rsid w:val="00BF0AE9"/>
    <w:rsid w:val="00BF0AF1"/>
    <w:rsid w:val="00BF0C24"/>
    <w:rsid w:val="00BF0D0D"/>
    <w:rsid w:val="00BF0E40"/>
    <w:rsid w:val="00BF0FD7"/>
    <w:rsid w:val="00BF1209"/>
    <w:rsid w:val="00BF14A5"/>
    <w:rsid w:val="00BF1809"/>
    <w:rsid w:val="00BF182B"/>
    <w:rsid w:val="00BF19AA"/>
    <w:rsid w:val="00BF1A41"/>
    <w:rsid w:val="00BF1CFC"/>
    <w:rsid w:val="00BF207C"/>
    <w:rsid w:val="00BF2190"/>
    <w:rsid w:val="00BF2598"/>
    <w:rsid w:val="00BF2A14"/>
    <w:rsid w:val="00BF2D89"/>
    <w:rsid w:val="00BF2F22"/>
    <w:rsid w:val="00BF3432"/>
    <w:rsid w:val="00BF37DC"/>
    <w:rsid w:val="00BF39F9"/>
    <w:rsid w:val="00BF3A58"/>
    <w:rsid w:val="00BF3C0D"/>
    <w:rsid w:val="00BF3FDF"/>
    <w:rsid w:val="00BF4F68"/>
    <w:rsid w:val="00BF50B5"/>
    <w:rsid w:val="00BF5F22"/>
    <w:rsid w:val="00BF685D"/>
    <w:rsid w:val="00BF6BA9"/>
    <w:rsid w:val="00BF6DCC"/>
    <w:rsid w:val="00BF71C6"/>
    <w:rsid w:val="00BF72CA"/>
    <w:rsid w:val="00BF7C67"/>
    <w:rsid w:val="00BF7CD8"/>
    <w:rsid w:val="00BF7E2C"/>
    <w:rsid w:val="00BF7E96"/>
    <w:rsid w:val="00C00849"/>
    <w:rsid w:val="00C0119B"/>
    <w:rsid w:val="00C01460"/>
    <w:rsid w:val="00C018CC"/>
    <w:rsid w:val="00C0204F"/>
    <w:rsid w:val="00C023E4"/>
    <w:rsid w:val="00C028F5"/>
    <w:rsid w:val="00C02A11"/>
    <w:rsid w:val="00C02BE9"/>
    <w:rsid w:val="00C02CE1"/>
    <w:rsid w:val="00C0309A"/>
    <w:rsid w:val="00C03141"/>
    <w:rsid w:val="00C035B9"/>
    <w:rsid w:val="00C036F3"/>
    <w:rsid w:val="00C03923"/>
    <w:rsid w:val="00C03C66"/>
    <w:rsid w:val="00C04497"/>
    <w:rsid w:val="00C04B21"/>
    <w:rsid w:val="00C04C7E"/>
    <w:rsid w:val="00C04ED0"/>
    <w:rsid w:val="00C0563C"/>
    <w:rsid w:val="00C058DD"/>
    <w:rsid w:val="00C06136"/>
    <w:rsid w:val="00C069D8"/>
    <w:rsid w:val="00C06DC5"/>
    <w:rsid w:val="00C074F6"/>
    <w:rsid w:val="00C07586"/>
    <w:rsid w:val="00C07752"/>
    <w:rsid w:val="00C07BAE"/>
    <w:rsid w:val="00C07C15"/>
    <w:rsid w:val="00C07D28"/>
    <w:rsid w:val="00C10062"/>
    <w:rsid w:val="00C1064A"/>
    <w:rsid w:val="00C11FBF"/>
    <w:rsid w:val="00C122D5"/>
    <w:rsid w:val="00C12A44"/>
    <w:rsid w:val="00C1305E"/>
    <w:rsid w:val="00C13270"/>
    <w:rsid w:val="00C1346A"/>
    <w:rsid w:val="00C13818"/>
    <w:rsid w:val="00C13F67"/>
    <w:rsid w:val="00C1406F"/>
    <w:rsid w:val="00C14712"/>
    <w:rsid w:val="00C14BA3"/>
    <w:rsid w:val="00C150AD"/>
    <w:rsid w:val="00C156BF"/>
    <w:rsid w:val="00C15F2A"/>
    <w:rsid w:val="00C166C1"/>
    <w:rsid w:val="00C16ED4"/>
    <w:rsid w:val="00C16FFA"/>
    <w:rsid w:val="00C17602"/>
    <w:rsid w:val="00C17BF3"/>
    <w:rsid w:val="00C17C27"/>
    <w:rsid w:val="00C17D89"/>
    <w:rsid w:val="00C20026"/>
    <w:rsid w:val="00C2023C"/>
    <w:rsid w:val="00C2023E"/>
    <w:rsid w:val="00C20277"/>
    <w:rsid w:val="00C206C7"/>
    <w:rsid w:val="00C208C0"/>
    <w:rsid w:val="00C21619"/>
    <w:rsid w:val="00C216C2"/>
    <w:rsid w:val="00C21899"/>
    <w:rsid w:val="00C21A66"/>
    <w:rsid w:val="00C21B4F"/>
    <w:rsid w:val="00C21C44"/>
    <w:rsid w:val="00C21E41"/>
    <w:rsid w:val="00C22CCF"/>
    <w:rsid w:val="00C235EA"/>
    <w:rsid w:val="00C23670"/>
    <w:rsid w:val="00C2371B"/>
    <w:rsid w:val="00C23B52"/>
    <w:rsid w:val="00C2415E"/>
    <w:rsid w:val="00C242D0"/>
    <w:rsid w:val="00C2431E"/>
    <w:rsid w:val="00C25198"/>
    <w:rsid w:val="00C25225"/>
    <w:rsid w:val="00C2552B"/>
    <w:rsid w:val="00C25765"/>
    <w:rsid w:val="00C25DC1"/>
    <w:rsid w:val="00C25ECF"/>
    <w:rsid w:val="00C25FA6"/>
    <w:rsid w:val="00C2601D"/>
    <w:rsid w:val="00C2617F"/>
    <w:rsid w:val="00C2636C"/>
    <w:rsid w:val="00C265CB"/>
    <w:rsid w:val="00C2685E"/>
    <w:rsid w:val="00C2687B"/>
    <w:rsid w:val="00C26B59"/>
    <w:rsid w:val="00C26DA4"/>
    <w:rsid w:val="00C26F08"/>
    <w:rsid w:val="00C27429"/>
    <w:rsid w:val="00C27ADE"/>
    <w:rsid w:val="00C27CB3"/>
    <w:rsid w:val="00C27E89"/>
    <w:rsid w:val="00C30422"/>
    <w:rsid w:val="00C30725"/>
    <w:rsid w:val="00C3087E"/>
    <w:rsid w:val="00C309E1"/>
    <w:rsid w:val="00C30A95"/>
    <w:rsid w:val="00C30C59"/>
    <w:rsid w:val="00C31397"/>
    <w:rsid w:val="00C317E5"/>
    <w:rsid w:val="00C3180A"/>
    <w:rsid w:val="00C325C9"/>
    <w:rsid w:val="00C32AB3"/>
    <w:rsid w:val="00C32F46"/>
    <w:rsid w:val="00C331CD"/>
    <w:rsid w:val="00C33493"/>
    <w:rsid w:val="00C3460E"/>
    <w:rsid w:val="00C34B06"/>
    <w:rsid w:val="00C34F77"/>
    <w:rsid w:val="00C3503E"/>
    <w:rsid w:val="00C35384"/>
    <w:rsid w:val="00C35AD3"/>
    <w:rsid w:val="00C35CA3"/>
    <w:rsid w:val="00C35CA5"/>
    <w:rsid w:val="00C35CCE"/>
    <w:rsid w:val="00C35DDE"/>
    <w:rsid w:val="00C35FE7"/>
    <w:rsid w:val="00C36039"/>
    <w:rsid w:val="00C36163"/>
    <w:rsid w:val="00C36180"/>
    <w:rsid w:val="00C36798"/>
    <w:rsid w:val="00C37006"/>
    <w:rsid w:val="00C37765"/>
    <w:rsid w:val="00C37CAC"/>
    <w:rsid w:val="00C40212"/>
    <w:rsid w:val="00C40A17"/>
    <w:rsid w:val="00C40C55"/>
    <w:rsid w:val="00C40FF9"/>
    <w:rsid w:val="00C41071"/>
    <w:rsid w:val="00C41B9B"/>
    <w:rsid w:val="00C41BFF"/>
    <w:rsid w:val="00C42041"/>
    <w:rsid w:val="00C42B20"/>
    <w:rsid w:val="00C42B7B"/>
    <w:rsid w:val="00C4308E"/>
    <w:rsid w:val="00C43145"/>
    <w:rsid w:val="00C43441"/>
    <w:rsid w:val="00C43A4B"/>
    <w:rsid w:val="00C447EC"/>
    <w:rsid w:val="00C44DD6"/>
    <w:rsid w:val="00C450C9"/>
    <w:rsid w:val="00C45A23"/>
    <w:rsid w:val="00C45DB2"/>
    <w:rsid w:val="00C46096"/>
    <w:rsid w:val="00C46745"/>
    <w:rsid w:val="00C46A36"/>
    <w:rsid w:val="00C46F16"/>
    <w:rsid w:val="00C46F43"/>
    <w:rsid w:val="00C4771E"/>
    <w:rsid w:val="00C47C07"/>
    <w:rsid w:val="00C47D1C"/>
    <w:rsid w:val="00C47E7A"/>
    <w:rsid w:val="00C501AA"/>
    <w:rsid w:val="00C50961"/>
    <w:rsid w:val="00C50979"/>
    <w:rsid w:val="00C50BD5"/>
    <w:rsid w:val="00C512B1"/>
    <w:rsid w:val="00C517BE"/>
    <w:rsid w:val="00C51F98"/>
    <w:rsid w:val="00C51FE6"/>
    <w:rsid w:val="00C5294A"/>
    <w:rsid w:val="00C52976"/>
    <w:rsid w:val="00C52ADC"/>
    <w:rsid w:val="00C53386"/>
    <w:rsid w:val="00C535AB"/>
    <w:rsid w:val="00C53CF7"/>
    <w:rsid w:val="00C53E92"/>
    <w:rsid w:val="00C53F04"/>
    <w:rsid w:val="00C54128"/>
    <w:rsid w:val="00C5419F"/>
    <w:rsid w:val="00C54EA5"/>
    <w:rsid w:val="00C55206"/>
    <w:rsid w:val="00C55707"/>
    <w:rsid w:val="00C55F0D"/>
    <w:rsid w:val="00C56336"/>
    <w:rsid w:val="00C567D2"/>
    <w:rsid w:val="00C5688D"/>
    <w:rsid w:val="00C56914"/>
    <w:rsid w:val="00C569CE"/>
    <w:rsid w:val="00C56C93"/>
    <w:rsid w:val="00C56D9A"/>
    <w:rsid w:val="00C56E87"/>
    <w:rsid w:val="00C5754E"/>
    <w:rsid w:val="00C57F83"/>
    <w:rsid w:val="00C60F5B"/>
    <w:rsid w:val="00C612D7"/>
    <w:rsid w:val="00C61392"/>
    <w:rsid w:val="00C615E2"/>
    <w:rsid w:val="00C61B5E"/>
    <w:rsid w:val="00C61C8C"/>
    <w:rsid w:val="00C6221C"/>
    <w:rsid w:val="00C622DB"/>
    <w:rsid w:val="00C625A1"/>
    <w:rsid w:val="00C627A6"/>
    <w:rsid w:val="00C6283D"/>
    <w:rsid w:val="00C6295C"/>
    <w:rsid w:val="00C62A1B"/>
    <w:rsid w:val="00C62C1D"/>
    <w:rsid w:val="00C62CB5"/>
    <w:rsid w:val="00C62DD7"/>
    <w:rsid w:val="00C63381"/>
    <w:rsid w:val="00C63744"/>
    <w:rsid w:val="00C63E8B"/>
    <w:rsid w:val="00C63E90"/>
    <w:rsid w:val="00C648E1"/>
    <w:rsid w:val="00C64941"/>
    <w:rsid w:val="00C64A73"/>
    <w:rsid w:val="00C651D3"/>
    <w:rsid w:val="00C6567E"/>
    <w:rsid w:val="00C65AC2"/>
    <w:rsid w:val="00C65BAA"/>
    <w:rsid w:val="00C660A2"/>
    <w:rsid w:val="00C66219"/>
    <w:rsid w:val="00C66320"/>
    <w:rsid w:val="00C66531"/>
    <w:rsid w:val="00C666C7"/>
    <w:rsid w:val="00C66E8D"/>
    <w:rsid w:val="00C66FD2"/>
    <w:rsid w:val="00C67306"/>
    <w:rsid w:val="00C673A5"/>
    <w:rsid w:val="00C6770E"/>
    <w:rsid w:val="00C67A04"/>
    <w:rsid w:val="00C67D84"/>
    <w:rsid w:val="00C67F0E"/>
    <w:rsid w:val="00C70710"/>
    <w:rsid w:val="00C709EE"/>
    <w:rsid w:val="00C716B0"/>
    <w:rsid w:val="00C71788"/>
    <w:rsid w:val="00C71ED9"/>
    <w:rsid w:val="00C71F7B"/>
    <w:rsid w:val="00C7255D"/>
    <w:rsid w:val="00C7287E"/>
    <w:rsid w:val="00C7322E"/>
    <w:rsid w:val="00C73777"/>
    <w:rsid w:val="00C73E3E"/>
    <w:rsid w:val="00C74D0B"/>
    <w:rsid w:val="00C74DE6"/>
    <w:rsid w:val="00C74EAD"/>
    <w:rsid w:val="00C75933"/>
    <w:rsid w:val="00C75CE4"/>
    <w:rsid w:val="00C75D0A"/>
    <w:rsid w:val="00C7653F"/>
    <w:rsid w:val="00C76680"/>
    <w:rsid w:val="00C77445"/>
    <w:rsid w:val="00C7746D"/>
    <w:rsid w:val="00C77C8A"/>
    <w:rsid w:val="00C77D06"/>
    <w:rsid w:val="00C77F25"/>
    <w:rsid w:val="00C80336"/>
    <w:rsid w:val="00C8067E"/>
    <w:rsid w:val="00C80FC3"/>
    <w:rsid w:val="00C81881"/>
    <w:rsid w:val="00C81927"/>
    <w:rsid w:val="00C8194F"/>
    <w:rsid w:val="00C81E36"/>
    <w:rsid w:val="00C821B9"/>
    <w:rsid w:val="00C82331"/>
    <w:rsid w:val="00C82C75"/>
    <w:rsid w:val="00C841DD"/>
    <w:rsid w:val="00C84711"/>
    <w:rsid w:val="00C84A03"/>
    <w:rsid w:val="00C84AB7"/>
    <w:rsid w:val="00C84C02"/>
    <w:rsid w:val="00C85376"/>
    <w:rsid w:val="00C85723"/>
    <w:rsid w:val="00C858DB"/>
    <w:rsid w:val="00C85E07"/>
    <w:rsid w:val="00C86604"/>
    <w:rsid w:val="00C867BB"/>
    <w:rsid w:val="00C8768A"/>
    <w:rsid w:val="00C90396"/>
    <w:rsid w:val="00C90597"/>
    <w:rsid w:val="00C90AD6"/>
    <w:rsid w:val="00C90BF4"/>
    <w:rsid w:val="00C90DA8"/>
    <w:rsid w:val="00C90DC8"/>
    <w:rsid w:val="00C90E41"/>
    <w:rsid w:val="00C91345"/>
    <w:rsid w:val="00C91632"/>
    <w:rsid w:val="00C91E74"/>
    <w:rsid w:val="00C91F6A"/>
    <w:rsid w:val="00C920B6"/>
    <w:rsid w:val="00C9277D"/>
    <w:rsid w:val="00C92B09"/>
    <w:rsid w:val="00C92FAE"/>
    <w:rsid w:val="00C93381"/>
    <w:rsid w:val="00C93A35"/>
    <w:rsid w:val="00C9414B"/>
    <w:rsid w:val="00C9486A"/>
    <w:rsid w:val="00C94B4D"/>
    <w:rsid w:val="00C94BE2"/>
    <w:rsid w:val="00C94E0A"/>
    <w:rsid w:val="00C956FA"/>
    <w:rsid w:val="00C957CF"/>
    <w:rsid w:val="00C95C27"/>
    <w:rsid w:val="00C95C58"/>
    <w:rsid w:val="00C963EA"/>
    <w:rsid w:val="00C969EE"/>
    <w:rsid w:val="00C96A1F"/>
    <w:rsid w:val="00C96E2E"/>
    <w:rsid w:val="00C96EF8"/>
    <w:rsid w:val="00C970F6"/>
    <w:rsid w:val="00C975D8"/>
    <w:rsid w:val="00C977E1"/>
    <w:rsid w:val="00CA1166"/>
    <w:rsid w:val="00CA1649"/>
    <w:rsid w:val="00CA16C0"/>
    <w:rsid w:val="00CA2193"/>
    <w:rsid w:val="00CA348E"/>
    <w:rsid w:val="00CA370C"/>
    <w:rsid w:val="00CA38F0"/>
    <w:rsid w:val="00CA3D0A"/>
    <w:rsid w:val="00CA46C8"/>
    <w:rsid w:val="00CA4840"/>
    <w:rsid w:val="00CA52AB"/>
    <w:rsid w:val="00CA564E"/>
    <w:rsid w:val="00CA56A3"/>
    <w:rsid w:val="00CA5AD0"/>
    <w:rsid w:val="00CA5F8D"/>
    <w:rsid w:val="00CA64CD"/>
    <w:rsid w:val="00CA6571"/>
    <w:rsid w:val="00CA65D3"/>
    <w:rsid w:val="00CA702A"/>
    <w:rsid w:val="00CA7766"/>
    <w:rsid w:val="00CB019D"/>
    <w:rsid w:val="00CB02CD"/>
    <w:rsid w:val="00CB040A"/>
    <w:rsid w:val="00CB0507"/>
    <w:rsid w:val="00CB0D64"/>
    <w:rsid w:val="00CB0E29"/>
    <w:rsid w:val="00CB17FA"/>
    <w:rsid w:val="00CB1902"/>
    <w:rsid w:val="00CB1AED"/>
    <w:rsid w:val="00CB24FC"/>
    <w:rsid w:val="00CB2E57"/>
    <w:rsid w:val="00CB2F1E"/>
    <w:rsid w:val="00CB3163"/>
    <w:rsid w:val="00CB3183"/>
    <w:rsid w:val="00CB3F5E"/>
    <w:rsid w:val="00CB46BE"/>
    <w:rsid w:val="00CB5662"/>
    <w:rsid w:val="00CB56C6"/>
    <w:rsid w:val="00CB591E"/>
    <w:rsid w:val="00CB5F4B"/>
    <w:rsid w:val="00CB67F0"/>
    <w:rsid w:val="00CB7927"/>
    <w:rsid w:val="00CC001B"/>
    <w:rsid w:val="00CC041D"/>
    <w:rsid w:val="00CC0C38"/>
    <w:rsid w:val="00CC0E89"/>
    <w:rsid w:val="00CC1259"/>
    <w:rsid w:val="00CC14AC"/>
    <w:rsid w:val="00CC153F"/>
    <w:rsid w:val="00CC197F"/>
    <w:rsid w:val="00CC210C"/>
    <w:rsid w:val="00CC249E"/>
    <w:rsid w:val="00CC2999"/>
    <w:rsid w:val="00CC2AFF"/>
    <w:rsid w:val="00CC2C5B"/>
    <w:rsid w:val="00CC3933"/>
    <w:rsid w:val="00CC39E2"/>
    <w:rsid w:val="00CC3E85"/>
    <w:rsid w:val="00CC49D4"/>
    <w:rsid w:val="00CC5129"/>
    <w:rsid w:val="00CC5443"/>
    <w:rsid w:val="00CC577A"/>
    <w:rsid w:val="00CC5ADF"/>
    <w:rsid w:val="00CC5DE5"/>
    <w:rsid w:val="00CC5F29"/>
    <w:rsid w:val="00CC6707"/>
    <w:rsid w:val="00CC6CD9"/>
    <w:rsid w:val="00CC6D3B"/>
    <w:rsid w:val="00CC71EE"/>
    <w:rsid w:val="00CC729E"/>
    <w:rsid w:val="00CC79F7"/>
    <w:rsid w:val="00CC7A44"/>
    <w:rsid w:val="00CC7E42"/>
    <w:rsid w:val="00CD0B56"/>
    <w:rsid w:val="00CD0C19"/>
    <w:rsid w:val="00CD0D8B"/>
    <w:rsid w:val="00CD1301"/>
    <w:rsid w:val="00CD154C"/>
    <w:rsid w:val="00CD1698"/>
    <w:rsid w:val="00CD17FD"/>
    <w:rsid w:val="00CD1839"/>
    <w:rsid w:val="00CD1CFE"/>
    <w:rsid w:val="00CD1E63"/>
    <w:rsid w:val="00CD2007"/>
    <w:rsid w:val="00CD2BAD"/>
    <w:rsid w:val="00CD2FF1"/>
    <w:rsid w:val="00CD31FF"/>
    <w:rsid w:val="00CD368F"/>
    <w:rsid w:val="00CD3729"/>
    <w:rsid w:val="00CD3A13"/>
    <w:rsid w:val="00CD3ABA"/>
    <w:rsid w:val="00CD3BF2"/>
    <w:rsid w:val="00CD3ED4"/>
    <w:rsid w:val="00CD403A"/>
    <w:rsid w:val="00CD4573"/>
    <w:rsid w:val="00CD4E65"/>
    <w:rsid w:val="00CD4E8C"/>
    <w:rsid w:val="00CD508E"/>
    <w:rsid w:val="00CD577D"/>
    <w:rsid w:val="00CD5846"/>
    <w:rsid w:val="00CD59C8"/>
    <w:rsid w:val="00CD5B4B"/>
    <w:rsid w:val="00CD5E7B"/>
    <w:rsid w:val="00CD62A4"/>
    <w:rsid w:val="00CD6A47"/>
    <w:rsid w:val="00CD6A87"/>
    <w:rsid w:val="00CD6F6F"/>
    <w:rsid w:val="00CD7749"/>
    <w:rsid w:val="00CD7B9A"/>
    <w:rsid w:val="00CE0340"/>
    <w:rsid w:val="00CE0C42"/>
    <w:rsid w:val="00CE0ED1"/>
    <w:rsid w:val="00CE1C25"/>
    <w:rsid w:val="00CE1FD2"/>
    <w:rsid w:val="00CE2293"/>
    <w:rsid w:val="00CE2DE3"/>
    <w:rsid w:val="00CE3448"/>
    <w:rsid w:val="00CE34D2"/>
    <w:rsid w:val="00CE35C0"/>
    <w:rsid w:val="00CE3D25"/>
    <w:rsid w:val="00CE47D5"/>
    <w:rsid w:val="00CE4852"/>
    <w:rsid w:val="00CE5690"/>
    <w:rsid w:val="00CE61DC"/>
    <w:rsid w:val="00CE6222"/>
    <w:rsid w:val="00CE63A5"/>
    <w:rsid w:val="00CE651A"/>
    <w:rsid w:val="00CE656C"/>
    <w:rsid w:val="00CE6DDD"/>
    <w:rsid w:val="00CE74F9"/>
    <w:rsid w:val="00CE7702"/>
    <w:rsid w:val="00CF063F"/>
    <w:rsid w:val="00CF1205"/>
    <w:rsid w:val="00CF1386"/>
    <w:rsid w:val="00CF1C54"/>
    <w:rsid w:val="00CF1F53"/>
    <w:rsid w:val="00CF2169"/>
    <w:rsid w:val="00CF2281"/>
    <w:rsid w:val="00CF28AE"/>
    <w:rsid w:val="00CF2A56"/>
    <w:rsid w:val="00CF2BD1"/>
    <w:rsid w:val="00CF31D9"/>
    <w:rsid w:val="00CF32F3"/>
    <w:rsid w:val="00CF33D0"/>
    <w:rsid w:val="00CF34DA"/>
    <w:rsid w:val="00CF35AD"/>
    <w:rsid w:val="00CF388F"/>
    <w:rsid w:val="00CF3D3C"/>
    <w:rsid w:val="00CF3D88"/>
    <w:rsid w:val="00CF435F"/>
    <w:rsid w:val="00CF468A"/>
    <w:rsid w:val="00CF475B"/>
    <w:rsid w:val="00CF476B"/>
    <w:rsid w:val="00CF4788"/>
    <w:rsid w:val="00CF4CD9"/>
    <w:rsid w:val="00CF4F89"/>
    <w:rsid w:val="00CF53EC"/>
    <w:rsid w:val="00CF5BB1"/>
    <w:rsid w:val="00CF6239"/>
    <w:rsid w:val="00CF634E"/>
    <w:rsid w:val="00CF64EB"/>
    <w:rsid w:val="00CF67D9"/>
    <w:rsid w:val="00CF6C32"/>
    <w:rsid w:val="00CF6DFB"/>
    <w:rsid w:val="00CF72A9"/>
    <w:rsid w:val="00CF7368"/>
    <w:rsid w:val="00CF758B"/>
    <w:rsid w:val="00CF7D70"/>
    <w:rsid w:val="00D0060B"/>
    <w:rsid w:val="00D017FF"/>
    <w:rsid w:val="00D020F2"/>
    <w:rsid w:val="00D021A3"/>
    <w:rsid w:val="00D02863"/>
    <w:rsid w:val="00D028F2"/>
    <w:rsid w:val="00D0343F"/>
    <w:rsid w:val="00D03772"/>
    <w:rsid w:val="00D03AD3"/>
    <w:rsid w:val="00D03F6B"/>
    <w:rsid w:val="00D04F40"/>
    <w:rsid w:val="00D052CD"/>
    <w:rsid w:val="00D05A9F"/>
    <w:rsid w:val="00D05B72"/>
    <w:rsid w:val="00D05BF3"/>
    <w:rsid w:val="00D0615C"/>
    <w:rsid w:val="00D06DF9"/>
    <w:rsid w:val="00D06E3C"/>
    <w:rsid w:val="00D0797B"/>
    <w:rsid w:val="00D100D3"/>
    <w:rsid w:val="00D102D5"/>
    <w:rsid w:val="00D10CBA"/>
    <w:rsid w:val="00D1108C"/>
    <w:rsid w:val="00D110C9"/>
    <w:rsid w:val="00D11159"/>
    <w:rsid w:val="00D11AB2"/>
    <w:rsid w:val="00D12323"/>
    <w:rsid w:val="00D1245B"/>
    <w:rsid w:val="00D128DB"/>
    <w:rsid w:val="00D1293C"/>
    <w:rsid w:val="00D12F96"/>
    <w:rsid w:val="00D13D83"/>
    <w:rsid w:val="00D13DC5"/>
    <w:rsid w:val="00D14339"/>
    <w:rsid w:val="00D145E2"/>
    <w:rsid w:val="00D153B8"/>
    <w:rsid w:val="00D15F40"/>
    <w:rsid w:val="00D16124"/>
    <w:rsid w:val="00D1709C"/>
    <w:rsid w:val="00D17AEB"/>
    <w:rsid w:val="00D206B5"/>
    <w:rsid w:val="00D2083A"/>
    <w:rsid w:val="00D20F4B"/>
    <w:rsid w:val="00D21615"/>
    <w:rsid w:val="00D21C3F"/>
    <w:rsid w:val="00D21E95"/>
    <w:rsid w:val="00D220D2"/>
    <w:rsid w:val="00D22142"/>
    <w:rsid w:val="00D226BA"/>
    <w:rsid w:val="00D22A31"/>
    <w:rsid w:val="00D22D42"/>
    <w:rsid w:val="00D23521"/>
    <w:rsid w:val="00D23ABD"/>
    <w:rsid w:val="00D23CBA"/>
    <w:rsid w:val="00D24B5E"/>
    <w:rsid w:val="00D24E54"/>
    <w:rsid w:val="00D2566A"/>
    <w:rsid w:val="00D25E98"/>
    <w:rsid w:val="00D27023"/>
    <w:rsid w:val="00D27330"/>
    <w:rsid w:val="00D30C54"/>
    <w:rsid w:val="00D311ED"/>
    <w:rsid w:val="00D31576"/>
    <w:rsid w:val="00D316C0"/>
    <w:rsid w:val="00D3187B"/>
    <w:rsid w:val="00D319C5"/>
    <w:rsid w:val="00D31AC9"/>
    <w:rsid w:val="00D328BD"/>
    <w:rsid w:val="00D329D4"/>
    <w:rsid w:val="00D32B60"/>
    <w:rsid w:val="00D33058"/>
    <w:rsid w:val="00D3309C"/>
    <w:rsid w:val="00D3378D"/>
    <w:rsid w:val="00D33CB7"/>
    <w:rsid w:val="00D34414"/>
    <w:rsid w:val="00D34E98"/>
    <w:rsid w:val="00D35A7D"/>
    <w:rsid w:val="00D35C5E"/>
    <w:rsid w:val="00D3605D"/>
    <w:rsid w:val="00D3685D"/>
    <w:rsid w:val="00D36FCA"/>
    <w:rsid w:val="00D37098"/>
    <w:rsid w:val="00D3763B"/>
    <w:rsid w:val="00D37ACD"/>
    <w:rsid w:val="00D37ECA"/>
    <w:rsid w:val="00D40213"/>
    <w:rsid w:val="00D404CF"/>
    <w:rsid w:val="00D4086C"/>
    <w:rsid w:val="00D40A4C"/>
    <w:rsid w:val="00D41361"/>
    <w:rsid w:val="00D41511"/>
    <w:rsid w:val="00D41693"/>
    <w:rsid w:val="00D416F4"/>
    <w:rsid w:val="00D41B23"/>
    <w:rsid w:val="00D42081"/>
    <w:rsid w:val="00D427CB"/>
    <w:rsid w:val="00D42BC1"/>
    <w:rsid w:val="00D42D8F"/>
    <w:rsid w:val="00D431EB"/>
    <w:rsid w:val="00D44811"/>
    <w:rsid w:val="00D44AD8"/>
    <w:rsid w:val="00D44FC8"/>
    <w:rsid w:val="00D4506E"/>
    <w:rsid w:val="00D451B2"/>
    <w:rsid w:val="00D451FA"/>
    <w:rsid w:val="00D45229"/>
    <w:rsid w:val="00D4568A"/>
    <w:rsid w:val="00D45787"/>
    <w:rsid w:val="00D4582D"/>
    <w:rsid w:val="00D458E2"/>
    <w:rsid w:val="00D46052"/>
    <w:rsid w:val="00D464FD"/>
    <w:rsid w:val="00D468E2"/>
    <w:rsid w:val="00D475D4"/>
    <w:rsid w:val="00D4790F"/>
    <w:rsid w:val="00D47DB5"/>
    <w:rsid w:val="00D47DCF"/>
    <w:rsid w:val="00D50361"/>
    <w:rsid w:val="00D5073F"/>
    <w:rsid w:val="00D512CF"/>
    <w:rsid w:val="00D513B7"/>
    <w:rsid w:val="00D5142D"/>
    <w:rsid w:val="00D51A5C"/>
    <w:rsid w:val="00D51BFA"/>
    <w:rsid w:val="00D51EB4"/>
    <w:rsid w:val="00D52404"/>
    <w:rsid w:val="00D52663"/>
    <w:rsid w:val="00D52DC7"/>
    <w:rsid w:val="00D52E26"/>
    <w:rsid w:val="00D5350F"/>
    <w:rsid w:val="00D5356A"/>
    <w:rsid w:val="00D53813"/>
    <w:rsid w:val="00D539E3"/>
    <w:rsid w:val="00D53A21"/>
    <w:rsid w:val="00D53C40"/>
    <w:rsid w:val="00D53ED2"/>
    <w:rsid w:val="00D540A5"/>
    <w:rsid w:val="00D542B6"/>
    <w:rsid w:val="00D544D5"/>
    <w:rsid w:val="00D54673"/>
    <w:rsid w:val="00D5481B"/>
    <w:rsid w:val="00D54C7D"/>
    <w:rsid w:val="00D55305"/>
    <w:rsid w:val="00D556AE"/>
    <w:rsid w:val="00D559F8"/>
    <w:rsid w:val="00D55B4C"/>
    <w:rsid w:val="00D55ED8"/>
    <w:rsid w:val="00D55F63"/>
    <w:rsid w:val="00D5617F"/>
    <w:rsid w:val="00D567A8"/>
    <w:rsid w:val="00D567E2"/>
    <w:rsid w:val="00D56F2B"/>
    <w:rsid w:val="00D56F2D"/>
    <w:rsid w:val="00D56FD5"/>
    <w:rsid w:val="00D574A8"/>
    <w:rsid w:val="00D579A7"/>
    <w:rsid w:val="00D57BAE"/>
    <w:rsid w:val="00D604DD"/>
    <w:rsid w:val="00D6054D"/>
    <w:rsid w:val="00D60993"/>
    <w:rsid w:val="00D60C79"/>
    <w:rsid w:val="00D60C9C"/>
    <w:rsid w:val="00D60D35"/>
    <w:rsid w:val="00D61192"/>
    <w:rsid w:val="00D61381"/>
    <w:rsid w:val="00D61BC0"/>
    <w:rsid w:val="00D62E2C"/>
    <w:rsid w:val="00D62E68"/>
    <w:rsid w:val="00D63174"/>
    <w:rsid w:val="00D631D5"/>
    <w:rsid w:val="00D63230"/>
    <w:rsid w:val="00D637AE"/>
    <w:rsid w:val="00D637D5"/>
    <w:rsid w:val="00D63974"/>
    <w:rsid w:val="00D63D79"/>
    <w:rsid w:val="00D63E56"/>
    <w:rsid w:val="00D63F70"/>
    <w:rsid w:val="00D642D5"/>
    <w:rsid w:val="00D6443A"/>
    <w:rsid w:val="00D653BD"/>
    <w:rsid w:val="00D654C5"/>
    <w:rsid w:val="00D66AFC"/>
    <w:rsid w:val="00D66C52"/>
    <w:rsid w:val="00D66E28"/>
    <w:rsid w:val="00D6753D"/>
    <w:rsid w:val="00D6758D"/>
    <w:rsid w:val="00D67A83"/>
    <w:rsid w:val="00D703F9"/>
    <w:rsid w:val="00D70815"/>
    <w:rsid w:val="00D70848"/>
    <w:rsid w:val="00D70C5F"/>
    <w:rsid w:val="00D70D39"/>
    <w:rsid w:val="00D70DBA"/>
    <w:rsid w:val="00D70FD6"/>
    <w:rsid w:val="00D723F9"/>
    <w:rsid w:val="00D72EE4"/>
    <w:rsid w:val="00D738EE"/>
    <w:rsid w:val="00D73AB5"/>
    <w:rsid w:val="00D73D6D"/>
    <w:rsid w:val="00D74083"/>
    <w:rsid w:val="00D74C28"/>
    <w:rsid w:val="00D74EFC"/>
    <w:rsid w:val="00D74F57"/>
    <w:rsid w:val="00D74FF7"/>
    <w:rsid w:val="00D750DE"/>
    <w:rsid w:val="00D7528E"/>
    <w:rsid w:val="00D7556B"/>
    <w:rsid w:val="00D75AC1"/>
    <w:rsid w:val="00D75D5A"/>
    <w:rsid w:val="00D75E49"/>
    <w:rsid w:val="00D76017"/>
    <w:rsid w:val="00D76666"/>
    <w:rsid w:val="00D766C3"/>
    <w:rsid w:val="00D768A4"/>
    <w:rsid w:val="00D76C55"/>
    <w:rsid w:val="00D76C9B"/>
    <w:rsid w:val="00D7768A"/>
    <w:rsid w:val="00D77910"/>
    <w:rsid w:val="00D77EB8"/>
    <w:rsid w:val="00D80E41"/>
    <w:rsid w:val="00D80F83"/>
    <w:rsid w:val="00D812E0"/>
    <w:rsid w:val="00D812E2"/>
    <w:rsid w:val="00D81358"/>
    <w:rsid w:val="00D813A2"/>
    <w:rsid w:val="00D8184B"/>
    <w:rsid w:val="00D8236B"/>
    <w:rsid w:val="00D82BE2"/>
    <w:rsid w:val="00D82CC3"/>
    <w:rsid w:val="00D82D3E"/>
    <w:rsid w:val="00D8338E"/>
    <w:rsid w:val="00D834F1"/>
    <w:rsid w:val="00D83538"/>
    <w:rsid w:val="00D83957"/>
    <w:rsid w:val="00D83AE2"/>
    <w:rsid w:val="00D83EFE"/>
    <w:rsid w:val="00D84197"/>
    <w:rsid w:val="00D84518"/>
    <w:rsid w:val="00D847CF"/>
    <w:rsid w:val="00D84EB3"/>
    <w:rsid w:val="00D859D6"/>
    <w:rsid w:val="00D85A0F"/>
    <w:rsid w:val="00D85B89"/>
    <w:rsid w:val="00D860E4"/>
    <w:rsid w:val="00D86106"/>
    <w:rsid w:val="00D86D37"/>
    <w:rsid w:val="00D86F4A"/>
    <w:rsid w:val="00D87081"/>
    <w:rsid w:val="00D871B9"/>
    <w:rsid w:val="00D8780E"/>
    <w:rsid w:val="00D8791F"/>
    <w:rsid w:val="00D90054"/>
    <w:rsid w:val="00D905A8"/>
    <w:rsid w:val="00D90765"/>
    <w:rsid w:val="00D90DC1"/>
    <w:rsid w:val="00D91044"/>
    <w:rsid w:val="00D911FD"/>
    <w:rsid w:val="00D913EE"/>
    <w:rsid w:val="00D913F3"/>
    <w:rsid w:val="00D91457"/>
    <w:rsid w:val="00D91493"/>
    <w:rsid w:val="00D917BB"/>
    <w:rsid w:val="00D9186E"/>
    <w:rsid w:val="00D92232"/>
    <w:rsid w:val="00D92E25"/>
    <w:rsid w:val="00D93252"/>
    <w:rsid w:val="00D9396A"/>
    <w:rsid w:val="00D94285"/>
    <w:rsid w:val="00D9447B"/>
    <w:rsid w:val="00D94756"/>
    <w:rsid w:val="00D94DF5"/>
    <w:rsid w:val="00D954EE"/>
    <w:rsid w:val="00D95593"/>
    <w:rsid w:val="00D95636"/>
    <w:rsid w:val="00D95B81"/>
    <w:rsid w:val="00D96119"/>
    <w:rsid w:val="00D963BB"/>
    <w:rsid w:val="00D9695F"/>
    <w:rsid w:val="00D96D8A"/>
    <w:rsid w:val="00D9747A"/>
    <w:rsid w:val="00D97A83"/>
    <w:rsid w:val="00D97C27"/>
    <w:rsid w:val="00D97F80"/>
    <w:rsid w:val="00D97FAD"/>
    <w:rsid w:val="00DA01C5"/>
    <w:rsid w:val="00DA02AD"/>
    <w:rsid w:val="00DA0869"/>
    <w:rsid w:val="00DA09DD"/>
    <w:rsid w:val="00DA10BB"/>
    <w:rsid w:val="00DA1670"/>
    <w:rsid w:val="00DA1F5B"/>
    <w:rsid w:val="00DA2462"/>
    <w:rsid w:val="00DA278E"/>
    <w:rsid w:val="00DA2B0B"/>
    <w:rsid w:val="00DA2D48"/>
    <w:rsid w:val="00DA2E17"/>
    <w:rsid w:val="00DA2E6B"/>
    <w:rsid w:val="00DA355C"/>
    <w:rsid w:val="00DA390A"/>
    <w:rsid w:val="00DA3B74"/>
    <w:rsid w:val="00DA3DE7"/>
    <w:rsid w:val="00DA3ED2"/>
    <w:rsid w:val="00DA42A9"/>
    <w:rsid w:val="00DA57C5"/>
    <w:rsid w:val="00DA62AF"/>
    <w:rsid w:val="00DA638C"/>
    <w:rsid w:val="00DA668A"/>
    <w:rsid w:val="00DA6AB6"/>
    <w:rsid w:val="00DA6EF8"/>
    <w:rsid w:val="00DA70D4"/>
    <w:rsid w:val="00DA7213"/>
    <w:rsid w:val="00DA7694"/>
    <w:rsid w:val="00DA78A6"/>
    <w:rsid w:val="00DA7B7C"/>
    <w:rsid w:val="00DA7C42"/>
    <w:rsid w:val="00DA7FB3"/>
    <w:rsid w:val="00DB010F"/>
    <w:rsid w:val="00DB01DF"/>
    <w:rsid w:val="00DB04D7"/>
    <w:rsid w:val="00DB0C69"/>
    <w:rsid w:val="00DB1089"/>
    <w:rsid w:val="00DB10DC"/>
    <w:rsid w:val="00DB1515"/>
    <w:rsid w:val="00DB214C"/>
    <w:rsid w:val="00DB2275"/>
    <w:rsid w:val="00DB25DD"/>
    <w:rsid w:val="00DB2607"/>
    <w:rsid w:val="00DB2689"/>
    <w:rsid w:val="00DB26F0"/>
    <w:rsid w:val="00DB2807"/>
    <w:rsid w:val="00DB2A1B"/>
    <w:rsid w:val="00DB2BE7"/>
    <w:rsid w:val="00DB2E4D"/>
    <w:rsid w:val="00DB438F"/>
    <w:rsid w:val="00DB4FC2"/>
    <w:rsid w:val="00DB5238"/>
    <w:rsid w:val="00DB55E9"/>
    <w:rsid w:val="00DB57DD"/>
    <w:rsid w:val="00DB5859"/>
    <w:rsid w:val="00DB5B21"/>
    <w:rsid w:val="00DB5FF2"/>
    <w:rsid w:val="00DB6B65"/>
    <w:rsid w:val="00DB70E7"/>
    <w:rsid w:val="00DB7370"/>
    <w:rsid w:val="00DB7BD2"/>
    <w:rsid w:val="00DB7F1D"/>
    <w:rsid w:val="00DC05D7"/>
    <w:rsid w:val="00DC0795"/>
    <w:rsid w:val="00DC0C47"/>
    <w:rsid w:val="00DC0D99"/>
    <w:rsid w:val="00DC0E24"/>
    <w:rsid w:val="00DC10DE"/>
    <w:rsid w:val="00DC15A3"/>
    <w:rsid w:val="00DC163C"/>
    <w:rsid w:val="00DC1862"/>
    <w:rsid w:val="00DC1BFF"/>
    <w:rsid w:val="00DC1ED0"/>
    <w:rsid w:val="00DC246C"/>
    <w:rsid w:val="00DC273C"/>
    <w:rsid w:val="00DC292A"/>
    <w:rsid w:val="00DC2E82"/>
    <w:rsid w:val="00DC2FEB"/>
    <w:rsid w:val="00DC31D4"/>
    <w:rsid w:val="00DC3301"/>
    <w:rsid w:val="00DC37CA"/>
    <w:rsid w:val="00DC3B77"/>
    <w:rsid w:val="00DC3C20"/>
    <w:rsid w:val="00DC3E44"/>
    <w:rsid w:val="00DC450B"/>
    <w:rsid w:val="00DC48F0"/>
    <w:rsid w:val="00DC49E4"/>
    <w:rsid w:val="00DC49ED"/>
    <w:rsid w:val="00DC49FA"/>
    <w:rsid w:val="00DC4FAA"/>
    <w:rsid w:val="00DC59EB"/>
    <w:rsid w:val="00DC5F6A"/>
    <w:rsid w:val="00DC608A"/>
    <w:rsid w:val="00DC613E"/>
    <w:rsid w:val="00DC65F1"/>
    <w:rsid w:val="00DC66DB"/>
    <w:rsid w:val="00DC6C88"/>
    <w:rsid w:val="00DC7172"/>
    <w:rsid w:val="00DC73A3"/>
    <w:rsid w:val="00DC73A7"/>
    <w:rsid w:val="00DC757A"/>
    <w:rsid w:val="00DC79D8"/>
    <w:rsid w:val="00DD0562"/>
    <w:rsid w:val="00DD0886"/>
    <w:rsid w:val="00DD1B1C"/>
    <w:rsid w:val="00DD2024"/>
    <w:rsid w:val="00DD2475"/>
    <w:rsid w:val="00DD2781"/>
    <w:rsid w:val="00DD2F75"/>
    <w:rsid w:val="00DD2F9E"/>
    <w:rsid w:val="00DD30FA"/>
    <w:rsid w:val="00DD3B2F"/>
    <w:rsid w:val="00DD46BE"/>
    <w:rsid w:val="00DD46C7"/>
    <w:rsid w:val="00DD47A3"/>
    <w:rsid w:val="00DD499D"/>
    <w:rsid w:val="00DD4C66"/>
    <w:rsid w:val="00DD4E4D"/>
    <w:rsid w:val="00DD4F0A"/>
    <w:rsid w:val="00DD511E"/>
    <w:rsid w:val="00DD5679"/>
    <w:rsid w:val="00DD57D9"/>
    <w:rsid w:val="00DD5E2A"/>
    <w:rsid w:val="00DD6033"/>
    <w:rsid w:val="00DD6275"/>
    <w:rsid w:val="00DD63EE"/>
    <w:rsid w:val="00DD64EF"/>
    <w:rsid w:val="00DD6D01"/>
    <w:rsid w:val="00DD7504"/>
    <w:rsid w:val="00DD7684"/>
    <w:rsid w:val="00DD7941"/>
    <w:rsid w:val="00DD7FB8"/>
    <w:rsid w:val="00DE011B"/>
    <w:rsid w:val="00DE0222"/>
    <w:rsid w:val="00DE03A8"/>
    <w:rsid w:val="00DE03FD"/>
    <w:rsid w:val="00DE10AC"/>
    <w:rsid w:val="00DE12C2"/>
    <w:rsid w:val="00DE1DC2"/>
    <w:rsid w:val="00DE2197"/>
    <w:rsid w:val="00DE2395"/>
    <w:rsid w:val="00DE24D9"/>
    <w:rsid w:val="00DE2BAA"/>
    <w:rsid w:val="00DE2BCD"/>
    <w:rsid w:val="00DE3996"/>
    <w:rsid w:val="00DE3A65"/>
    <w:rsid w:val="00DE446F"/>
    <w:rsid w:val="00DE47DA"/>
    <w:rsid w:val="00DE4890"/>
    <w:rsid w:val="00DE48A1"/>
    <w:rsid w:val="00DE48CA"/>
    <w:rsid w:val="00DE4C4E"/>
    <w:rsid w:val="00DE4FAB"/>
    <w:rsid w:val="00DE50DD"/>
    <w:rsid w:val="00DE5345"/>
    <w:rsid w:val="00DE54DE"/>
    <w:rsid w:val="00DE5907"/>
    <w:rsid w:val="00DE6602"/>
    <w:rsid w:val="00DE6794"/>
    <w:rsid w:val="00DE6C14"/>
    <w:rsid w:val="00DE6FE1"/>
    <w:rsid w:val="00DE74F5"/>
    <w:rsid w:val="00DE7745"/>
    <w:rsid w:val="00DE7BC3"/>
    <w:rsid w:val="00DE7BE8"/>
    <w:rsid w:val="00DF07E8"/>
    <w:rsid w:val="00DF0D25"/>
    <w:rsid w:val="00DF0FB1"/>
    <w:rsid w:val="00DF1291"/>
    <w:rsid w:val="00DF1492"/>
    <w:rsid w:val="00DF17BD"/>
    <w:rsid w:val="00DF19A2"/>
    <w:rsid w:val="00DF1B50"/>
    <w:rsid w:val="00DF1B61"/>
    <w:rsid w:val="00DF1CE4"/>
    <w:rsid w:val="00DF1D16"/>
    <w:rsid w:val="00DF3048"/>
    <w:rsid w:val="00DF3051"/>
    <w:rsid w:val="00DF3439"/>
    <w:rsid w:val="00DF343E"/>
    <w:rsid w:val="00DF36BF"/>
    <w:rsid w:val="00DF3B31"/>
    <w:rsid w:val="00DF3E28"/>
    <w:rsid w:val="00DF3FC2"/>
    <w:rsid w:val="00DF3FFA"/>
    <w:rsid w:val="00DF42A7"/>
    <w:rsid w:val="00DF4391"/>
    <w:rsid w:val="00DF4709"/>
    <w:rsid w:val="00DF4985"/>
    <w:rsid w:val="00DF4BD2"/>
    <w:rsid w:val="00DF565D"/>
    <w:rsid w:val="00DF5BB8"/>
    <w:rsid w:val="00DF6BD8"/>
    <w:rsid w:val="00DF6C8E"/>
    <w:rsid w:val="00DF6EA8"/>
    <w:rsid w:val="00DF7070"/>
    <w:rsid w:val="00DF7087"/>
    <w:rsid w:val="00DF7807"/>
    <w:rsid w:val="00DF7A97"/>
    <w:rsid w:val="00DF7B31"/>
    <w:rsid w:val="00DF7D88"/>
    <w:rsid w:val="00E0007B"/>
    <w:rsid w:val="00E0041A"/>
    <w:rsid w:val="00E005BB"/>
    <w:rsid w:val="00E0095E"/>
    <w:rsid w:val="00E015F4"/>
    <w:rsid w:val="00E019FE"/>
    <w:rsid w:val="00E02344"/>
    <w:rsid w:val="00E027E9"/>
    <w:rsid w:val="00E028EF"/>
    <w:rsid w:val="00E02A91"/>
    <w:rsid w:val="00E04804"/>
    <w:rsid w:val="00E05552"/>
    <w:rsid w:val="00E05A87"/>
    <w:rsid w:val="00E05E62"/>
    <w:rsid w:val="00E06190"/>
    <w:rsid w:val="00E06330"/>
    <w:rsid w:val="00E0689B"/>
    <w:rsid w:val="00E069AE"/>
    <w:rsid w:val="00E06ABC"/>
    <w:rsid w:val="00E06DB2"/>
    <w:rsid w:val="00E06EA6"/>
    <w:rsid w:val="00E0734A"/>
    <w:rsid w:val="00E076E9"/>
    <w:rsid w:val="00E078AA"/>
    <w:rsid w:val="00E1095B"/>
    <w:rsid w:val="00E10CE7"/>
    <w:rsid w:val="00E11E0F"/>
    <w:rsid w:val="00E1216F"/>
    <w:rsid w:val="00E12921"/>
    <w:rsid w:val="00E13023"/>
    <w:rsid w:val="00E134EE"/>
    <w:rsid w:val="00E13649"/>
    <w:rsid w:val="00E1447A"/>
    <w:rsid w:val="00E14685"/>
    <w:rsid w:val="00E14714"/>
    <w:rsid w:val="00E150C0"/>
    <w:rsid w:val="00E150FD"/>
    <w:rsid w:val="00E15388"/>
    <w:rsid w:val="00E158DB"/>
    <w:rsid w:val="00E1591F"/>
    <w:rsid w:val="00E16377"/>
    <w:rsid w:val="00E16A55"/>
    <w:rsid w:val="00E16FFD"/>
    <w:rsid w:val="00E1700C"/>
    <w:rsid w:val="00E17217"/>
    <w:rsid w:val="00E17425"/>
    <w:rsid w:val="00E17934"/>
    <w:rsid w:val="00E17AD2"/>
    <w:rsid w:val="00E17DF9"/>
    <w:rsid w:val="00E2075F"/>
    <w:rsid w:val="00E20A94"/>
    <w:rsid w:val="00E20D99"/>
    <w:rsid w:val="00E22755"/>
    <w:rsid w:val="00E227FE"/>
    <w:rsid w:val="00E2368D"/>
    <w:rsid w:val="00E238A7"/>
    <w:rsid w:val="00E23D8B"/>
    <w:rsid w:val="00E246A7"/>
    <w:rsid w:val="00E246AA"/>
    <w:rsid w:val="00E2490F"/>
    <w:rsid w:val="00E24CD5"/>
    <w:rsid w:val="00E2509C"/>
    <w:rsid w:val="00E259FF"/>
    <w:rsid w:val="00E25B82"/>
    <w:rsid w:val="00E26014"/>
    <w:rsid w:val="00E26150"/>
    <w:rsid w:val="00E279A9"/>
    <w:rsid w:val="00E279D1"/>
    <w:rsid w:val="00E27D37"/>
    <w:rsid w:val="00E300B7"/>
    <w:rsid w:val="00E30339"/>
    <w:rsid w:val="00E3235B"/>
    <w:rsid w:val="00E32DE0"/>
    <w:rsid w:val="00E32E5D"/>
    <w:rsid w:val="00E32F37"/>
    <w:rsid w:val="00E33007"/>
    <w:rsid w:val="00E331A4"/>
    <w:rsid w:val="00E331B8"/>
    <w:rsid w:val="00E33443"/>
    <w:rsid w:val="00E3377F"/>
    <w:rsid w:val="00E33990"/>
    <w:rsid w:val="00E34122"/>
    <w:rsid w:val="00E34AC0"/>
    <w:rsid w:val="00E34C6D"/>
    <w:rsid w:val="00E34F2E"/>
    <w:rsid w:val="00E35390"/>
    <w:rsid w:val="00E37096"/>
    <w:rsid w:val="00E37A7E"/>
    <w:rsid w:val="00E37CAE"/>
    <w:rsid w:val="00E37E47"/>
    <w:rsid w:val="00E37EEE"/>
    <w:rsid w:val="00E40323"/>
    <w:rsid w:val="00E40845"/>
    <w:rsid w:val="00E41196"/>
    <w:rsid w:val="00E4176B"/>
    <w:rsid w:val="00E4197C"/>
    <w:rsid w:val="00E43089"/>
    <w:rsid w:val="00E43DC5"/>
    <w:rsid w:val="00E4420E"/>
    <w:rsid w:val="00E443CE"/>
    <w:rsid w:val="00E44F10"/>
    <w:rsid w:val="00E45477"/>
    <w:rsid w:val="00E456B4"/>
    <w:rsid w:val="00E4582D"/>
    <w:rsid w:val="00E45A08"/>
    <w:rsid w:val="00E46363"/>
    <w:rsid w:val="00E46449"/>
    <w:rsid w:val="00E4686F"/>
    <w:rsid w:val="00E46A4F"/>
    <w:rsid w:val="00E471B8"/>
    <w:rsid w:val="00E471E7"/>
    <w:rsid w:val="00E47BDC"/>
    <w:rsid w:val="00E50149"/>
    <w:rsid w:val="00E50323"/>
    <w:rsid w:val="00E50882"/>
    <w:rsid w:val="00E50C75"/>
    <w:rsid w:val="00E50CAF"/>
    <w:rsid w:val="00E50D5A"/>
    <w:rsid w:val="00E50DEF"/>
    <w:rsid w:val="00E5140F"/>
    <w:rsid w:val="00E51895"/>
    <w:rsid w:val="00E51B4D"/>
    <w:rsid w:val="00E51CF4"/>
    <w:rsid w:val="00E51D2C"/>
    <w:rsid w:val="00E51F04"/>
    <w:rsid w:val="00E51F26"/>
    <w:rsid w:val="00E52992"/>
    <w:rsid w:val="00E52A25"/>
    <w:rsid w:val="00E52B20"/>
    <w:rsid w:val="00E52CB9"/>
    <w:rsid w:val="00E52F40"/>
    <w:rsid w:val="00E53088"/>
    <w:rsid w:val="00E53A7C"/>
    <w:rsid w:val="00E548EA"/>
    <w:rsid w:val="00E55045"/>
    <w:rsid w:val="00E55616"/>
    <w:rsid w:val="00E557A5"/>
    <w:rsid w:val="00E558E2"/>
    <w:rsid w:val="00E55966"/>
    <w:rsid w:val="00E55A86"/>
    <w:rsid w:val="00E55C07"/>
    <w:rsid w:val="00E55CD5"/>
    <w:rsid w:val="00E55E84"/>
    <w:rsid w:val="00E55FC8"/>
    <w:rsid w:val="00E560AF"/>
    <w:rsid w:val="00E56962"/>
    <w:rsid w:val="00E56970"/>
    <w:rsid w:val="00E56F8B"/>
    <w:rsid w:val="00E56FC4"/>
    <w:rsid w:val="00E577F5"/>
    <w:rsid w:val="00E57A5E"/>
    <w:rsid w:val="00E57B51"/>
    <w:rsid w:val="00E57C7B"/>
    <w:rsid w:val="00E57E79"/>
    <w:rsid w:val="00E600B9"/>
    <w:rsid w:val="00E60318"/>
    <w:rsid w:val="00E604AE"/>
    <w:rsid w:val="00E60AD6"/>
    <w:rsid w:val="00E612C6"/>
    <w:rsid w:val="00E612ED"/>
    <w:rsid w:val="00E617A1"/>
    <w:rsid w:val="00E61B05"/>
    <w:rsid w:val="00E61F8E"/>
    <w:rsid w:val="00E620F2"/>
    <w:rsid w:val="00E630BE"/>
    <w:rsid w:val="00E6347B"/>
    <w:rsid w:val="00E6384D"/>
    <w:rsid w:val="00E63919"/>
    <w:rsid w:val="00E63CA9"/>
    <w:rsid w:val="00E64054"/>
    <w:rsid w:val="00E64075"/>
    <w:rsid w:val="00E6437E"/>
    <w:rsid w:val="00E644C9"/>
    <w:rsid w:val="00E64538"/>
    <w:rsid w:val="00E64CE8"/>
    <w:rsid w:val="00E653C5"/>
    <w:rsid w:val="00E654DC"/>
    <w:rsid w:val="00E65949"/>
    <w:rsid w:val="00E65B8E"/>
    <w:rsid w:val="00E65C88"/>
    <w:rsid w:val="00E66022"/>
    <w:rsid w:val="00E66470"/>
    <w:rsid w:val="00E666BD"/>
    <w:rsid w:val="00E66B52"/>
    <w:rsid w:val="00E66E5F"/>
    <w:rsid w:val="00E67128"/>
    <w:rsid w:val="00E676CF"/>
    <w:rsid w:val="00E679BB"/>
    <w:rsid w:val="00E67BAE"/>
    <w:rsid w:val="00E703F4"/>
    <w:rsid w:val="00E70676"/>
    <w:rsid w:val="00E70863"/>
    <w:rsid w:val="00E70CE3"/>
    <w:rsid w:val="00E70FA5"/>
    <w:rsid w:val="00E71768"/>
    <w:rsid w:val="00E721BE"/>
    <w:rsid w:val="00E72409"/>
    <w:rsid w:val="00E7320E"/>
    <w:rsid w:val="00E735DD"/>
    <w:rsid w:val="00E738A3"/>
    <w:rsid w:val="00E7393B"/>
    <w:rsid w:val="00E73A85"/>
    <w:rsid w:val="00E73D76"/>
    <w:rsid w:val="00E73EA5"/>
    <w:rsid w:val="00E74650"/>
    <w:rsid w:val="00E74A2F"/>
    <w:rsid w:val="00E74E8D"/>
    <w:rsid w:val="00E74EE3"/>
    <w:rsid w:val="00E751E5"/>
    <w:rsid w:val="00E752FA"/>
    <w:rsid w:val="00E7680C"/>
    <w:rsid w:val="00E768C5"/>
    <w:rsid w:val="00E77099"/>
    <w:rsid w:val="00E771C0"/>
    <w:rsid w:val="00E77233"/>
    <w:rsid w:val="00E77259"/>
    <w:rsid w:val="00E77713"/>
    <w:rsid w:val="00E77801"/>
    <w:rsid w:val="00E77D6C"/>
    <w:rsid w:val="00E8082F"/>
    <w:rsid w:val="00E80DE4"/>
    <w:rsid w:val="00E80E8B"/>
    <w:rsid w:val="00E81D4A"/>
    <w:rsid w:val="00E82BB6"/>
    <w:rsid w:val="00E82CE8"/>
    <w:rsid w:val="00E8394A"/>
    <w:rsid w:val="00E83AC5"/>
    <w:rsid w:val="00E842C1"/>
    <w:rsid w:val="00E8497C"/>
    <w:rsid w:val="00E84D57"/>
    <w:rsid w:val="00E85114"/>
    <w:rsid w:val="00E9000F"/>
    <w:rsid w:val="00E90362"/>
    <w:rsid w:val="00E909E8"/>
    <w:rsid w:val="00E9130E"/>
    <w:rsid w:val="00E913E4"/>
    <w:rsid w:val="00E914FB"/>
    <w:rsid w:val="00E91A95"/>
    <w:rsid w:val="00E91D12"/>
    <w:rsid w:val="00E93001"/>
    <w:rsid w:val="00E931F6"/>
    <w:rsid w:val="00E935BC"/>
    <w:rsid w:val="00E9375C"/>
    <w:rsid w:val="00E937B5"/>
    <w:rsid w:val="00E93BFF"/>
    <w:rsid w:val="00E941C0"/>
    <w:rsid w:val="00E9429D"/>
    <w:rsid w:val="00E94338"/>
    <w:rsid w:val="00E9466D"/>
    <w:rsid w:val="00E94829"/>
    <w:rsid w:val="00E94A1C"/>
    <w:rsid w:val="00E94D17"/>
    <w:rsid w:val="00E94EE3"/>
    <w:rsid w:val="00E950C5"/>
    <w:rsid w:val="00E9535B"/>
    <w:rsid w:val="00E95406"/>
    <w:rsid w:val="00E95C33"/>
    <w:rsid w:val="00E9648B"/>
    <w:rsid w:val="00E96936"/>
    <w:rsid w:val="00E96B4D"/>
    <w:rsid w:val="00E970F6"/>
    <w:rsid w:val="00E975C6"/>
    <w:rsid w:val="00E97AD8"/>
    <w:rsid w:val="00E97B5C"/>
    <w:rsid w:val="00E97BE1"/>
    <w:rsid w:val="00EA0980"/>
    <w:rsid w:val="00EA0DC1"/>
    <w:rsid w:val="00EA11CA"/>
    <w:rsid w:val="00EA1878"/>
    <w:rsid w:val="00EA1A92"/>
    <w:rsid w:val="00EA1C51"/>
    <w:rsid w:val="00EA1DD3"/>
    <w:rsid w:val="00EA31F2"/>
    <w:rsid w:val="00EA34E7"/>
    <w:rsid w:val="00EA36B6"/>
    <w:rsid w:val="00EA388C"/>
    <w:rsid w:val="00EA4781"/>
    <w:rsid w:val="00EA4BEA"/>
    <w:rsid w:val="00EA5670"/>
    <w:rsid w:val="00EA58E4"/>
    <w:rsid w:val="00EA6080"/>
    <w:rsid w:val="00EA6760"/>
    <w:rsid w:val="00EA6CE0"/>
    <w:rsid w:val="00EA79AC"/>
    <w:rsid w:val="00EB0434"/>
    <w:rsid w:val="00EB0DC6"/>
    <w:rsid w:val="00EB11F9"/>
    <w:rsid w:val="00EB1237"/>
    <w:rsid w:val="00EB19B5"/>
    <w:rsid w:val="00EB1D30"/>
    <w:rsid w:val="00EB1F2A"/>
    <w:rsid w:val="00EB26BA"/>
    <w:rsid w:val="00EB28BD"/>
    <w:rsid w:val="00EB2BFC"/>
    <w:rsid w:val="00EB2EE8"/>
    <w:rsid w:val="00EB3C7A"/>
    <w:rsid w:val="00EB3D6C"/>
    <w:rsid w:val="00EB4060"/>
    <w:rsid w:val="00EB4769"/>
    <w:rsid w:val="00EB4887"/>
    <w:rsid w:val="00EB4EC2"/>
    <w:rsid w:val="00EB51BA"/>
    <w:rsid w:val="00EB5578"/>
    <w:rsid w:val="00EB56F7"/>
    <w:rsid w:val="00EB60DF"/>
    <w:rsid w:val="00EB6451"/>
    <w:rsid w:val="00EB6EDD"/>
    <w:rsid w:val="00EB71A4"/>
    <w:rsid w:val="00EB73CF"/>
    <w:rsid w:val="00EB7508"/>
    <w:rsid w:val="00EB76DB"/>
    <w:rsid w:val="00EB7706"/>
    <w:rsid w:val="00EB7759"/>
    <w:rsid w:val="00EC038C"/>
    <w:rsid w:val="00EC03AA"/>
    <w:rsid w:val="00EC063A"/>
    <w:rsid w:val="00EC0773"/>
    <w:rsid w:val="00EC0941"/>
    <w:rsid w:val="00EC0B2D"/>
    <w:rsid w:val="00EC0B2F"/>
    <w:rsid w:val="00EC0BA7"/>
    <w:rsid w:val="00EC0C40"/>
    <w:rsid w:val="00EC0D17"/>
    <w:rsid w:val="00EC0FA6"/>
    <w:rsid w:val="00EC0FDC"/>
    <w:rsid w:val="00EC1039"/>
    <w:rsid w:val="00EC11C4"/>
    <w:rsid w:val="00EC18AA"/>
    <w:rsid w:val="00EC2144"/>
    <w:rsid w:val="00EC21F3"/>
    <w:rsid w:val="00EC286D"/>
    <w:rsid w:val="00EC4063"/>
    <w:rsid w:val="00EC460A"/>
    <w:rsid w:val="00EC46F7"/>
    <w:rsid w:val="00EC4820"/>
    <w:rsid w:val="00EC4CB3"/>
    <w:rsid w:val="00EC4F87"/>
    <w:rsid w:val="00EC59F7"/>
    <w:rsid w:val="00EC6286"/>
    <w:rsid w:val="00EC6B58"/>
    <w:rsid w:val="00EC7243"/>
    <w:rsid w:val="00EC7773"/>
    <w:rsid w:val="00EC794D"/>
    <w:rsid w:val="00ED025B"/>
    <w:rsid w:val="00ED0385"/>
    <w:rsid w:val="00ED18B6"/>
    <w:rsid w:val="00ED1AD6"/>
    <w:rsid w:val="00ED1CE1"/>
    <w:rsid w:val="00ED2167"/>
    <w:rsid w:val="00ED26CA"/>
    <w:rsid w:val="00ED3419"/>
    <w:rsid w:val="00ED381B"/>
    <w:rsid w:val="00ED3984"/>
    <w:rsid w:val="00ED39C5"/>
    <w:rsid w:val="00ED4572"/>
    <w:rsid w:val="00ED5216"/>
    <w:rsid w:val="00ED5228"/>
    <w:rsid w:val="00ED5442"/>
    <w:rsid w:val="00ED5CB8"/>
    <w:rsid w:val="00ED688B"/>
    <w:rsid w:val="00ED69B9"/>
    <w:rsid w:val="00ED6F19"/>
    <w:rsid w:val="00ED75A9"/>
    <w:rsid w:val="00ED75F1"/>
    <w:rsid w:val="00EE01AC"/>
    <w:rsid w:val="00EE0351"/>
    <w:rsid w:val="00EE06CD"/>
    <w:rsid w:val="00EE0E00"/>
    <w:rsid w:val="00EE1237"/>
    <w:rsid w:val="00EE1287"/>
    <w:rsid w:val="00EE1F10"/>
    <w:rsid w:val="00EE2207"/>
    <w:rsid w:val="00EE2403"/>
    <w:rsid w:val="00EE292E"/>
    <w:rsid w:val="00EE318A"/>
    <w:rsid w:val="00EE3234"/>
    <w:rsid w:val="00EE342F"/>
    <w:rsid w:val="00EE34BA"/>
    <w:rsid w:val="00EE38C2"/>
    <w:rsid w:val="00EE4195"/>
    <w:rsid w:val="00EE4387"/>
    <w:rsid w:val="00EE4556"/>
    <w:rsid w:val="00EE47E6"/>
    <w:rsid w:val="00EE4F22"/>
    <w:rsid w:val="00EE559D"/>
    <w:rsid w:val="00EE560E"/>
    <w:rsid w:val="00EE5688"/>
    <w:rsid w:val="00EE5C15"/>
    <w:rsid w:val="00EE5C8A"/>
    <w:rsid w:val="00EE5E1B"/>
    <w:rsid w:val="00EE5ED4"/>
    <w:rsid w:val="00EE6C2C"/>
    <w:rsid w:val="00EE7050"/>
    <w:rsid w:val="00EE7D58"/>
    <w:rsid w:val="00EF000F"/>
    <w:rsid w:val="00EF0655"/>
    <w:rsid w:val="00EF105A"/>
    <w:rsid w:val="00EF10CD"/>
    <w:rsid w:val="00EF1271"/>
    <w:rsid w:val="00EF12C1"/>
    <w:rsid w:val="00EF13E6"/>
    <w:rsid w:val="00EF1E9D"/>
    <w:rsid w:val="00EF21F0"/>
    <w:rsid w:val="00EF29E5"/>
    <w:rsid w:val="00EF2ED1"/>
    <w:rsid w:val="00EF37F5"/>
    <w:rsid w:val="00EF3A31"/>
    <w:rsid w:val="00EF3A3B"/>
    <w:rsid w:val="00EF3B1C"/>
    <w:rsid w:val="00EF3BE8"/>
    <w:rsid w:val="00EF402E"/>
    <w:rsid w:val="00EF4363"/>
    <w:rsid w:val="00EF4421"/>
    <w:rsid w:val="00EF449C"/>
    <w:rsid w:val="00EF48A5"/>
    <w:rsid w:val="00EF4FA5"/>
    <w:rsid w:val="00EF5659"/>
    <w:rsid w:val="00EF56A5"/>
    <w:rsid w:val="00EF56C4"/>
    <w:rsid w:val="00EF5FA6"/>
    <w:rsid w:val="00EF5FE7"/>
    <w:rsid w:val="00EF63E3"/>
    <w:rsid w:val="00EF6ADC"/>
    <w:rsid w:val="00EF6C67"/>
    <w:rsid w:val="00EF7833"/>
    <w:rsid w:val="00EF79EE"/>
    <w:rsid w:val="00EF7A60"/>
    <w:rsid w:val="00EF7D4A"/>
    <w:rsid w:val="00F00252"/>
    <w:rsid w:val="00F00AA5"/>
    <w:rsid w:val="00F01286"/>
    <w:rsid w:val="00F012C9"/>
    <w:rsid w:val="00F0142B"/>
    <w:rsid w:val="00F01700"/>
    <w:rsid w:val="00F019D5"/>
    <w:rsid w:val="00F01CF7"/>
    <w:rsid w:val="00F0201C"/>
    <w:rsid w:val="00F02AE4"/>
    <w:rsid w:val="00F02F93"/>
    <w:rsid w:val="00F03516"/>
    <w:rsid w:val="00F036EF"/>
    <w:rsid w:val="00F037E0"/>
    <w:rsid w:val="00F03DA0"/>
    <w:rsid w:val="00F0462D"/>
    <w:rsid w:val="00F048E8"/>
    <w:rsid w:val="00F049AA"/>
    <w:rsid w:val="00F04A27"/>
    <w:rsid w:val="00F05088"/>
    <w:rsid w:val="00F06377"/>
    <w:rsid w:val="00F06EB8"/>
    <w:rsid w:val="00F07245"/>
    <w:rsid w:val="00F076D9"/>
    <w:rsid w:val="00F10015"/>
    <w:rsid w:val="00F100ED"/>
    <w:rsid w:val="00F10509"/>
    <w:rsid w:val="00F10F8E"/>
    <w:rsid w:val="00F110A5"/>
    <w:rsid w:val="00F1152B"/>
    <w:rsid w:val="00F118B4"/>
    <w:rsid w:val="00F11AD1"/>
    <w:rsid w:val="00F11D6A"/>
    <w:rsid w:val="00F11EE0"/>
    <w:rsid w:val="00F11F6C"/>
    <w:rsid w:val="00F11F81"/>
    <w:rsid w:val="00F12140"/>
    <w:rsid w:val="00F121F1"/>
    <w:rsid w:val="00F124CB"/>
    <w:rsid w:val="00F124E5"/>
    <w:rsid w:val="00F12EEB"/>
    <w:rsid w:val="00F133AE"/>
    <w:rsid w:val="00F134C1"/>
    <w:rsid w:val="00F13514"/>
    <w:rsid w:val="00F13586"/>
    <w:rsid w:val="00F135A9"/>
    <w:rsid w:val="00F13630"/>
    <w:rsid w:val="00F137D9"/>
    <w:rsid w:val="00F143CD"/>
    <w:rsid w:val="00F146EE"/>
    <w:rsid w:val="00F14D63"/>
    <w:rsid w:val="00F1524A"/>
    <w:rsid w:val="00F1556D"/>
    <w:rsid w:val="00F16342"/>
    <w:rsid w:val="00F16B34"/>
    <w:rsid w:val="00F173FA"/>
    <w:rsid w:val="00F17769"/>
    <w:rsid w:val="00F1781E"/>
    <w:rsid w:val="00F179DA"/>
    <w:rsid w:val="00F17C01"/>
    <w:rsid w:val="00F17DDD"/>
    <w:rsid w:val="00F20464"/>
    <w:rsid w:val="00F2048B"/>
    <w:rsid w:val="00F207BE"/>
    <w:rsid w:val="00F20BF9"/>
    <w:rsid w:val="00F2130B"/>
    <w:rsid w:val="00F21D76"/>
    <w:rsid w:val="00F21DB9"/>
    <w:rsid w:val="00F22641"/>
    <w:rsid w:val="00F22672"/>
    <w:rsid w:val="00F23361"/>
    <w:rsid w:val="00F2341C"/>
    <w:rsid w:val="00F234FF"/>
    <w:rsid w:val="00F2370E"/>
    <w:rsid w:val="00F239F8"/>
    <w:rsid w:val="00F23A3E"/>
    <w:rsid w:val="00F24296"/>
    <w:rsid w:val="00F24442"/>
    <w:rsid w:val="00F246C1"/>
    <w:rsid w:val="00F246CF"/>
    <w:rsid w:val="00F247B2"/>
    <w:rsid w:val="00F249B6"/>
    <w:rsid w:val="00F249F6"/>
    <w:rsid w:val="00F24D03"/>
    <w:rsid w:val="00F24F32"/>
    <w:rsid w:val="00F24F96"/>
    <w:rsid w:val="00F2523D"/>
    <w:rsid w:val="00F2538B"/>
    <w:rsid w:val="00F25A3F"/>
    <w:rsid w:val="00F25B15"/>
    <w:rsid w:val="00F26326"/>
    <w:rsid w:val="00F2633B"/>
    <w:rsid w:val="00F26AE8"/>
    <w:rsid w:val="00F26E25"/>
    <w:rsid w:val="00F27758"/>
    <w:rsid w:val="00F27B0E"/>
    <w:rsid w:val="00F27D63"/>
    <w:rsid w:val="00F30185"/>
    <w:rsid w:val="00F307F0"/>
    <w:rsid w:val="00F30C27"/>
    <w:rsid w:val="00F31673"/>
    <w:rsid w:val="00F316B6"/>
    <w:rsid w:val="00F3180F"/>
    <w:rsid w:val="00F318BD"/>
    <w:rsid w:val="00F31A52"/>
    <w:rsid w:val="00F31DA2"/>
    <w:rsid w:val="00F32094"/>
    <w:rsid w:val="00F32196"/>
    <w:rsid w:val="00F322D8"/>
    <w:rsid w:val="00F3260A"/>
    <w:rsid w:val="00F32816"/>
    <w:rsid w:val="00F33832"/>
    <w:rsid w:val="00F33882"/>
    <w:rsid w:val="00F33B09"/>
    <w:rsid w:val="00F33D1D"/>
    <w:rsid w:val="00F33F81"/>
    <w:rsid w:val="00F34212"/>
    <w:rsid w:val="00F3421F"/>
    <w:rsid w:val="00F3424A"/>
    <w:rsid w:val="00F34766"/>
    <w:rsid w:val="00F34778"/>
    <w:rsid w:val="00F34B60"/>
    <w:rsid w:val="00F35D89"/>
    <w:rsid w:val="00F35DF5"/>
    <w:rsid w:val="00F35E67"/>
    <w:rsid w:val="00F35F8B"/>
    <w:rsid w:val="00F3676B"/>
    <w:rsid w:val="00F3676F"/>
    <w:rsid w:val="00F36ABF"/>
    <w:rsid w:val="00F36CE1"/>
    <w:rsid w:val="00F37455"/>
    <w:rsid w:val="00F37695"/>
    <w:rsid w:val="00F37DA5"/>
    <w:rsid w:val="00F3BE22"/>
    <w:rsid w:val="00F40146"/>
    <w:rsid w:val="00F408AE"/>
    <w:rsid w:val="00F40974"/>
    <w:rsid w:val="00F40C34"/>
    <w:rsid w:val="00F4115B"/>
    <w:rsid w:val="00F411B4"/>
    <w:rsid w:val="00F415E9"/>
    <w:rsid w:val="00F41C30"/>
    <w:rsid w:val="00F41E76"/>
    <w:rsid w:val="00F41F49"/>
    <w:rsid w:val="00F4206B"/>
    <w:rsid w:val="00F4250F"/>
    <w:rsid w:val="00F4254B"/>
    <w:rsid w:val="00F4290E"/>
    <w:rsid w:val="00F42B8E"/>
    <w:rsid w:val="00F43108"/>
    <w:rsid w:val="00F43EDD"/>
    <w:rsid w:val="00F44233"/>
    <w:rsid w:val="00F4547B"/>
    <w:rsid w:val="00F45492"/>
    <w:rsid w:val="00F456CE"/>
    <w:rsid w:val="00F45B45"/>
    <w:rsid w:val="00F468EC"/>
    <w:rsid w:val="00F47242"/>
    <w:rsid w:val="00F47413"/>
    <w:rsid w:val="00F47CA2"/>
    <w:rsid w:val="00F47D3E"/>
    <w:rsid w:val="00F500DF"/>
    <w:rsid w:val="00F502F8"/>
    <w:rsid w:val="00F508F7"/>
    <w:rsid w:val="00F50F33"/>
    <w:rsid w:val="00F51852"/>
    <w:rsid w:val="00F518BE"/>
    <w:rsid w:val="00F51AAE"/>
    <w:rsid w:val="00F51C00"/>
    <w:rsid w:val="00F51FF4"/>
    <w:rsid w:val="00F520AC"/>
    <w:rsid w:val="00F5330C"/>
    <w:rsid w:val="00F533F0"/>
    <w:rsid w:val="00F5360E"/>
    <w:rsid w:val="00F541F6"/>
    <w:rsid w:val="00F54888"/>
    <w:rsid w:val="00F54B42"/>
    <w:rsid w:val="00F54D75"/>
    <w:rsid w:val="00F5508A"/>
    <w:rsid w:val="00F551E8"/>
    <w:rsid w:val="00F55CDB"/>
    <w:rsid w:val="00F56C76"/>
    <w:rsid w:val="00F56EC3"/>
    <w:rsid w:val="00F56FEA"/>
    <w:rsid w:val="00F571D6"/>
    <w:rsid w:val="00F57624"/>
    <w:rsid w:val="00F57AE9"/>
    <w:rsid w:val="00F57E75"/>
    <w:rsid w:val="00F60213"/>
    <w:rsid w:val="00F606CD"/>
    <w:rsid w:val="00F6080F"/>
    <w:rsid w:val="00F60C7B"/>
    <w:rsid w:val="00F60F57"/>
    <w:rsid w:val="00F6150D"/>
    <w:rsid w:val="00F615E1"/>
    <w:rsid w:val="00F61692"/>
    <w:rsid w:val="00F616AB"/>
    <w:rsid w:val="00F619D4"/>
    <w:rsid w:val="00F61AFD"/>
    <w:rsid w:val="00F61B87"/>
    <w:rsid w:val="00F6208A"/>
    <w:rsid w:val="00F620E1"/>
    <w:rsid w:val="00F62A71"/>
    <w:rsid w:val="00F62B55"/>
    <w:rsid w:val="00F62BD9"/>
    <w:rsid w:val="00F62EAE"/>
    <w:rsid w:val="00F63421"/>
    <w:rsid w:val="00F63445"/>
    <w:rsid w:val="00F634E5"/>
    <w:rsid w:val="00F6362D"/>
    <w:rsid w:val="00F637F1"/>
    <w:rsid w:val="00F63C51"/>
    <w:rsid w:val="00F63D64"/>
    <w:rsid w:val="00F63F0D"/>
    <w:rsid w:val="00F64041"/>
    <w:rsid w:val="00F64403"/>
    <w:rsid w:val="00F64759"/>
    <w:rsid w:val="00F64927"/>
    <w:rsid w:val="00F64CA5"/>
    <w:rsid w:val="00F64F25"/>
    <w:rsid w:val="00F65246"/>
    <w:rsid w:val="00F6570B"/>
    <w:rsid w:val="00F65A6C"/>
    <w:rsid w:val="00F65B4C"/>
    <w:rsid w:val="00F671BD"/>
    <w:rsid w:val="00F67B8D"/>
    <w:rsid w:val="00F70297"/>
    <w:rsid w:val="00F702BE"/>
    <w:rsid w:val="00F70954"/>
    <w:rsid w:val="00F70E08"/>
    <w:rsid w:val="00F7111A"/>
    <w:rsid w:val="00F718A9"/>
    <w:rsid w:val="00F71930"/>
    <w:rsid w:val="00F71A2B"/>
    <w:rsid w:val="00F71B75"/>
    <w:rsid w:val="00F71E19"/>
    <w:rsid w:val="00F71FC0"/>
    <w:rsid w:val="00F720BB"/>
    <w:rsid w:val="00F72193"/>
    <w:rsid w:val="00F7222E"/>
    <w:rsid w:val="00F7224F"/>
    <w:rsid w:val="00F72E06"/>
    <w:rsid w:val="00F730C6"/>
    <w:rsid w:val="00F73391"/>
    <w:rsid w:val="00F73A4E"/>
    <w:rsid w:val="00F73B7F"/>
    <w:rsid w:val="00F73D6C"/>
    <w:rsid w:val="00F73F8E"/>
    <w:rsid w:val="00F74210"/>
    <w:rsid w:val="00F74B75"/>
    <w:rsid w:val="00F74B99"/>
    <w:rsid w:val="00F750E0"/>
    <w:rsid w:val="00F7518E"/>
    <w:rsid w:val="00F75829"/>
    <w:rsid w:val="00F762E0"/>
    <w:rsid w:val="00F769DB"/>
    <w:rsid w:val="00F76AA1"/>
    <w:rsid w:val="00F76B31"/>
    <w:rsid w:val="00F76CB6"/>
    <w:rsid w:val="00F777B5"/>
    <w:rsid w:val="00F77968"/>
    <w:rsid w:val="00F77EFD"/>
    <w:rsid w:val="00F80139"/>
    <w:rsid w:val="00F80275"/>
    <w:rsid w:val="00F80372"/>
    <w:rsid w:val="00F80A84"/>
    <w:rsid w:val="00F80E5D"/>
    <w:rsid w:val="00F81D91"/>
    <w:rsid w:val="00F824FE"/>
    <w:rsid w:val="00F83201"/>
    <w:rsid w:val="00F83467"/>
    <w:rsid w:val="00F8383F"/>
    <w:rsid w:val="00F842B8"/>
    <w:rsid w:val="00F844E5"/>
    <w:rsid w:val="00F846FD"/>
    <w:rsid w:val="00F84C80"/>
    <w:rsid w:val="00F8506D"/>
    <w:rsid w:val="00F850E5"/>
    <w:rsid w:val="00F85151"/>
    <w:rsid w:val="00F85159"/>
    <w:rsid w:val="00F855AC"/>
    <w:rsid w:val="00F858F5"/>
    <w:rsid w:val="00F85C89"/>
    <w:rsid w:val="00F873B0"/>
    <w:rsid w:val="00F87488"/>
    <w:rsid w:val="00F87BA1"/>
    <w:rsid w:val="00F87CE6"/>
    <w:rsid w:val="00F87F56"/>
    <w:rsid w:val="00F904EC"/>
    <w:rsid w:val="00F90FA1"/>
    <w:rsid w:val="00F91103"/>
    <w:rsid w:val="00F9130B"/>
    <w:rsid w:val="00F91483"/>
    <w:rsid w:val="00F91E56"/>
    <w:rsid w:val="00F9202F"/>
    <w:rsid w:val="00F923D1"/>
    <w:rsid w:val="00F933ED"/>
    <w:rsid w:val="00F934DD"/>
    <w:rsid w:val="00F9352E"/>
    <w:rsid w:val="00F93866"/>
    <w:rsid w:val="00F93876"/>
    <w:rsid w:val="00F93DF3"/>
    <w:rsid w:val="00F948CB"/>
    <w:rsid w:val="00F94F40"/>
    <w:rsid w:val="00F94FC9"/>
    <w:rsid w:val="00F94FD7"/>
    <w:rsid w:val="00F95170"/>
    <w:rsid w:val="00F954A0"/>
    <w:rsid w:val="00F95E16"/>
    <w:rsid w:val="00F963E6"/>
    <w:rsid w:val="00F96613"/>
    <w:rsid w:val="00F96912"/>
    <w:rsid w:val="00F96CE3"/>
    <w:rsid w:val="00F97730"/>
    <w:rsid w:val="00F9790B"/>
    <w:rsid w:val="00FA00DC"/>
    <w:rsid w:val="00FA0393"/>
    <w:rsid w:val="00FA07DB"/>
    <w:rsid w:val="00FA0A19"/>
    <w:rsid w:val="00FA0F03"/>
    <w:rsid w:val="00FA115C"/>
    <w:rsid w:val="00FA1392"/>
    <w:rsid w:val="00FA1A02"/>
    <w:rsid w:val="00FA1D37"/>
    <w:rsid w:val="00FA3839"/>
    <w:rsid w:val="00FA3958"/>
    <w:rsid w:val="00FA4071"/>
    <w:rsid w:val="00FA45BC"/>
    <w:rsid w:val="00FA4A76"/>
    <w:rsid w:val="00FA4D35"/>
    <w:rsid w:val="00FA4E03"/>
    <w:rsid w:val="00FA4F3D"/>
    <w:rsid w:val="00FA51BF"/>
    <w:rsid w:val="00FA52DC"/>
    <w:rsid w:val="00FA52DE"/>
    <w:rsid w:val="00FA5463"/>
    <w:rsid w:val="00FA5CB1"/>
    <w:rsid w:val="00FA69D7"/>
    <w:rsid w:val="00FA6C0A"/>
    <w:rsid w:val="00FA73BF"/>
    <w:rsid w:val="00FA7556"/>
    <w:rsid w:val="00FA7897"/>
    <w:rsid w:val="00FA7B2D"/>
    <w:rsid w:val="00FB0593"/>
    <w:rsid w:val="00FB05DF"/>
    <w:rsid w:val="00FB09E1"/>
    <w:rsid w:val="00FB0A21"/>
    <w:rsid w:val="00FB0BF3"/>
    <w:rsid w:val="00FB1512"/>
    <w:rsid w:val="00FB1B3F"/>
    <w:rsid w:val="00FB1DF6"/>
    <w:rsid w:val="00FB1EE0"/>
    <w:rsid w:val="00FB2144"/>
    <w:rsid w:val="00FB2CF2"/>
    <w:rsid w:val="00FB305C"/>
    <w:rsid w:val="00FB308C"/>
    <w:rsid w:val="00FB319A"/>
    <w:rsid w:val="00FB34E9"/>
    <w:rsid w:val="00FB3DBD"/>
    <w:rsid w:val="00FB40BF"/>
    <w:rsid w:val="00FB4300"/>
    <w:rsid w:val="00FB460C"/>
    <w:rsid w:val="00FB51A4"/>
    <w:rsid w:val="00FB56C0"/>
    <w:rsid w:val="00FB57DD"/>
    <w:rsid w:val="00FB5836"/>
    <w:rsid w:val="00FB595F"/>
    <w:rsid w:val="00FB5B90"/>
    <w:rsid w:val="00FB5BAA"/>
    <w:rsid w:val="00FB5D08"/>
    <w:rsid w:val="00FB5F00"/>
    <w:rsid w:val="00FB6271"/>
    <w:rsid w:val="00FB6415"/>
    <w:rsid w:val="00FB68B7"/>
    <w:rsid w:val="00FB6E00"/>
    <w:rsid w:val="00FB6FC2"/>
    <w:rsid w:val="00FB7462"/>
    <w:rsid w:val="00FC0125"/>
    <w:rsid w:val="00FC05F1"/>
    <w:rsid w:val="00FC0617"/>
    <w:rsid w:val="00FC0FE2"/>
    <w:rsid w:val="00FC117D"/>
    <w:rsid w:val="00FC119F"/>
    <w:rsid w:val="00FC1295"/>
    <w:rsid w:val="00FC1B89"/>
    <w:rsid w:val="00FC1F58"/>
    <w:rsid w:val="00FC2177"/>
    <w:rsid w:val="00FC231D"/>
    <w:rsid w:val="00FC2355"/>
    <w:rsid w:val="00FC2474"/>
    <w:rsid w:val="00FC2816"/>
    <w:rsid w:val="00FC2920"/>
    <w:rsid w:val="00FC2DCA"/>
    <w:rsid w:val="00FC34E6"/>
    <w:rsid w:val="00FC3A54"/>
    <w:rsid w:val="00FC3A6D"/>
    <w:rsid w:val="00FC4303"/>
    <w:rsid w:val="00FC4BD0"/>
    <w:rsid w:val="00FC588D"/>
    <w:rsid w:val="00FC5E3A"/>
    <w:rsid w:val="00FC5FD1"/>
    <w:rsid w:val="00FC61CC"/>
    <w:rsid w:val="00FC6233"/>
    <w:rsid w:val="00FC630D"/>
    <w:rsid w:val="00FC6456"/>
    <w:rsid w:val="00FC6564"/>
    <w:rsid w:val="00FC6E1C"/>
    <w:rsid w:val="00FC6E26"/>
    <w:rsid w:val="00FC7044"/>
    <w:rsid w:val="00FC7179"/>
    <w:rsid w:val="00FD0166"/>
    <w:rsid w:val="00FD07AB"/>
    <w:rsid w:val="00FD0DB1"/>
    <w:rsid w:val="00FD196F"/>
    <w:rsid w:val="00FD1A71"/>
    <w:rsid w:val="00FD1F94"/>
    <w:rsid w:val="00FD1FF0"/>
    <w:rsid w:val="00FD23E8"/>
    <w:rsid w:val="00FD27DC"/>
    <w:rsid w:val="00FD2A7E"/>
    <w:rsid w:val="00FD2DA0"/>
    <w:rsid w:val="00FD30BE"/>
    <w:rsid w:val="00FD3BE0"/>
    <w:rsid w:val="00FD432F"/>
    <w:rsid w:val="00FD4330"/>
    <w:rsid w:val="00FD4395"/>
    <w:rsid w:val="00FD4AE4"/>
    <w:rsid w:val="00FD4CA0"/>
    <w:rsid w:val="00FD4DB5"/>
    <w:rsid w:val="00FD5195"/>
    <w:rsid w:val="00FD55FB"/>
    <w:rsid w:val="00FD5C04"/>
    <w:rsid w:val="00FD5D3C"/>
    <w:rsid w:val="00FD62EA"/>
    <w:rsid w:val="00FD6345"/>
    <w:rsid w:val="00FD67FE"/>
    <w:rsid w:val="00FD6800"/>
    <w:rsid w:val="00FD694E"/>
    <w:rsid w:val="00FD6B89"/>
    <w:rsid w:val="00FD6CB3"/>
    <w:rsid w:val="00FD6CE2"/>
    <w:rsid w:val="00FD6E3E"/>
    <w:rsid w:val="00FD6F64"/>
    <w:rsid w:val="00FD7359"/>
    <w:rsid w:val="00FD7395"/>
    <w:rsid w:val="00FD74AE"/>
    <w:rsid w:val="00FD75B2"/>
    <w:rsid w:val="00FD7C6B"/>
    <w:rsid w:val="00FE062D"/>
    <w:rsid w:val="00FE088E"/>
    <w:rsid w:val="00FE0B81"/>
    <w:rsid w:val="00FE0D3E"/>
    <w:rsid w:val="00FE10A1"/>
    <w:rsid w:val="00FE10F6"/>
    <w:rsid w:val="00FE180F"/>
    <w:rsid w:val="00FE1DCD"/>
    <w:rsid w:val="00FE209B"/>
    <w:rsid w:val="00FE2499"/>
    <w:rsid w:val="00FE2667"/>
    <w:rsid w:val="00FE306F"/>
    <w:rsid w:val="00FE316C"/>
    <w:rsid w:val="00FE3A0C"/>
    <w:rsid w:val="00FE495D"/>
    <w:rsid w:val="00FE4C64"/>
    <w:rsid w:val="00FE4E5E"/>
    <w:rsid w:val="00FE4F9A"/>
    <w:rsid w:val="00FE5244"/>
    <w:rsid w:val="00FE5404"/>
    <w:rsid w:val="00FE5578"/>
    <w:rsid w:val="00FE55CC"/>
    <w:rsid w:val="00FE5EF0"/>
    <w:rsid w:val="00FE5F5C"/>
    <w:rsid w:val="00FE5FD7"/>
    <w:rsid w:val="00FE5FED"/>
    <w:rsid w:val="00FE6607"/>
    <w:rsid w:val="00FE6B6C"/>
    <w:rsid w:val="00FE7FA5"/>
    <w:rsid w:val="00FF0308"/>
    <w:rsid w:val="00FF0931"/>
    <w:rsid w:val="00FF0AF2"/>
    <w:rsid w:val="00FF0B2E"/>
    <w:rsid w:val="00FF1271"/>
    <w:rsid w:val="00FF25F8"/>
    <w:rsid w:val="00FF2E39"/>
    <w:rsid w:val="00FF2F78"/>
    <w:rsid w:val="00FF35AF"/>
    <w:rsid w:val="00FF3AD8"/>
    <w:rsid w:val="00FF42A4"/>
    <w:rsid w:val="00FF4616"/>
    <w:rsid w:val="00FF4960"/>
    <w:rsid w:val="00FF4B0D"/>
    <w:rsid w:val="00FF571B"/>
    <w:rsid w:val="00FF5B21"/>
    <w:rsid w:val="00FF5DE5"/>
    <w:rsid w:val="00FF619B"/>
    <w:rsid w:val="00FF67D4"/>
    <w:rsid w:val="00FF6E30"/>
    <w:rsid w:val="00FF6ECF"/>
    <w:rsid w:val="00FF7326"/>
    <w:rsid w:val="00FF7705"/>
    <w:rsid w:val="00FF7D63"/>
    <w:rsid w:val="0112B36B"/>
    <w:rsid w:val="011AD61C"/>
    <w:rsid w:val="012E35E2"/>
    <w:rsid w:val="01431D79"/>
    <w:rsid w:val="01853811"/>
    <w:rsid w:val="018ABA0C"/>
    <w:rsid w:val="018DE506"/>
    <w:rsid w:val="01B0368A"/>
    <w:rsid w:val="01BAD758"/>
    <w:rsid w:val="01BD5EE0"/>
    <w:rsid w:val="01C07C0D"/>
    <w:rsid w:val="01CE10F4"/>
    <w:rsid w:val="01D90BF8"/>
    <w:rsid w:val="01EE63A0"/>
    <w:rsid w:val="01F7D837"/>
    <w:rsid w:val="02096160"/>
    <w:rsid w:val="02105BF4"/>
    <w:rsid w:val="0218BAED"/>
    <w:rsid w:val="0227C7AA"/>
    <w:rsid w:val="02339F3F"/>
    <w:rsid w:val="023A9138"/>
    <w:rsid w:val="024410CA"/>
    <w:rsid w:val="0257EF9A"/>
    <w:rsid w:val="028C23F1"/>
    <w:rsid w:val="0298CAD1"/>
    <w:rsid w:val="02A7F3A8"/>
    <w:rsid w:val="02B85873"/>
    <w:rsid w:val="02C07A33"/>
    <w:rsid w:val="02F3040A"/>
    <w:rsid w:val="03274923"/>
    <w:rsid w:val="032C03E8"/>
    <w:rsid w:val="03409E00"/>
    <w:rsid w:val="034A195F"/>
    <w:rsid w:val="035F2166"/>
    <w:rsid w:val="036B6A43"/>
    <w:rsid w:val="037AB41F"/>
    <w:rsid w:val="0384114A"/>
    <w:rsid w:val="038A0D09"/>
    <w:rsid w:val="038A3401"/>
    <w:rsid w:val="038A8ABF"/>
    <w:rsid w:val="03A535B4"/>
    <w:rsid w:val="03B48B4E"/>
    <w:rsid w:val="03BA6741"/>
    <w:rsid w:val="0400F0FB"/>
    <w:rsid w:val="0408D4B2"/>
    <w:rsid w:val="040E9C0C"/>
    <w:rsid w:val="0426601C"/>
    <w:rsid w:val="0431BB2B"/>
    <w:rsid w:val="04374B80"/>
    <w:rsid w:val="0439EE85"/>
    <w:rsid w:val="04562589"/>
    <w:rsid w:val="045714A5"/>
    <w:rsid w:val="046CF0DA"/>
    <w:rsid w:val="0481FC9E"/>
    <w:rsid w:val="048DB1C0"/>
    <w:rsid w:val="04924495"/>
    <w:rsid w:val="049F3041"/>
    <w:rsid w:val="04A30C4E"/>
    <w:rsid w:val="04B795ED"/>
    <w:rsid w:val="04DEB54D"/>
    <w:rsid w:val="04EB548D"/>
    <w:rsid w:val="04EF5FBA"/>
    <w:rsid w:val="04FAF281"/>
    <w:rsid w:val="0511E3E2"/>
    <w:rsid w:val="05158EA3"/>
    <w:rsid w:val="05183BFF"/>
    <w:rsid w:val="051B8C84"/>
    <w:rsid w:val="0532D4C5"/>
    <w:rsid w:val="053FDF4B"/>
    <w:rsid w:val="05445372"/>
    <w:rsid w:val="05471A73"/>
    <w:rsid w:val="05592D65"/>
    <w:rsid w:val="056C3CA8"/>
    <w:rsid w:val="057C1631"/>
    <w:rsid w:val="0590D941"/>
    <w:rsid w:val="05D0469A"/>
    <w:rsid w:val="05F43E48"/>
    <w:rsid w:val="05F5B3E8"/>
    <w:rsid w:val="06078965"/>
    <w:rsid w:val="061572A2"/>
    <w:rsid w:val="0628E2F6"/>
    <w:rsid w:val="06360A2C"/>
    <w:rsid w:val="0653664E"/>
    <w:rsid w:val="0655370B"/>
    <w:rsid w:val="0668A693"/>
    <w:rsid w:val="067839DC"/>
    <w:rsid w:val="06783EC2"/>
    <w:rsid w:val="06876261"/>
    <w:rsid w:val="06920EE8"/>
    <w:rsid w:val="0692B551"/>
    <w:rsid w:val="069DE97E"/>
    <w:rsid w:val="06AA6CB2"/>
    <w:rsid w:val="06AC851C"/>
    <w:rsid w:val="070A9D32"/>
    <w:rsid w:val="072084E3"/>
    <w:rsid w:val="07315D6B"/>
    <w:rsid w:val="07333542"/>
    <w:rsid w:val="073AF239"/>
    <w:rsid w:val="07431497"/>
    <w:rsid w:val="07470F23"/>
    <w:rsid w:val="0748B4EA"/>
    <w:rsid w:val="07490BF3"/>
    <w:rsid w:val="0762E9B8"/>
    <w:rsid w:val="0767C2FB"/>
    <w:rsid w:val="0770752C"/>
    <w:rsid w:val="07A359C8"/>
    <w:rsid w:val="07AE10FB"/>
    <w:rsid w:val="07BA7D3F"/>
    <w:rsid w:val="07C54D7F"/>
    <w:rsid w:val="07CB2517"/>
    <w:rsid w:val="07D308CD"/>
    <w:rsid w:val="07EF36AF"/>
    <w:rsid w:val="07F5FFDD"/>
    <w:rsid w:val="0817898F"/>
    <w:rsid w:val="08225566"/>
    <w:rsid w:val="08548C90"/>
    <w:rsid w:val="085547F8"/>
    <w:rsid w:val="08678212"/>
    <w:rsid w:val="089FF113"/>
    <w:rsid w:val="08A30066"/>
    <w:rsid w:val="08A37405"/>
    <w:rsid w:val="08AE7B80"/>
    <w:rsid w:val="08B12066"/>
    <w:rsid w:val="08D9B9AC"/>
    <w:rsid w:val="08F3651D"/>
    <w:rsid w:val="090456CB"/>
    <w:rsid w:val="0907A596"/>
    <w:rsid w:val="09123C08"/>
    <w:rsid w:val="0922A8A9"/>
    <w:rsid w:val="0934EC43"/>
    <w:rsid w:val="0942FE98"/>
    <w:rsid w:val="096A9074"/>
    <w:rsid w:val="097837A8"/>
    <w:rsid w:val="09791AA3"/>
    <w:rsid w:val="098A44D9"/>
    <w:rsid w:val="0994E7DF"/>
    <w:rsid w:val="09A4B7FE"/>
    <w:rsid w:val="09A59BAA"/>
    <w:rsid w:val="09AEF3F2"/>
    <w:rsid w:val="09AFDF84"/>
    <w:rsid w:val="09BEB24A"/>
    <w:rsid w:val="09DBD5F3"/>
    <w:rsid w:val="09F55D4A"/>
    <w:rsid w:val="09FB0EBA"/>
    <w:rsid w:val="0A0E1A1A"/>
    <w:rsid w:val="0A280A35"/>
    <w:rsid w:val="0A34D7E3"/>
    <w:rsid w:val="0A3F2F49"/>
    <w:rsid w:val="0A444DE8"/>
    <w:rsid w:val="0A54DA30"/>
    <w:rsid w:val="0A5C2858"/>
    <w:rsid w:val="0A8FB19F"/>
    <w:rsid w:val="0AC3DEAF"/>
    <w:rsid w:val="0AD8F12B"/>
    <w:rsid w:val="0ADB50A0"/>
    <w:rsid w:val="0AE0A9C5"/>
    <w:rsid w:val="0AE0BDA8"/>
    <w:rsid w:val="0AF0DDCC"/>
    <w:rsid w:val="0AFAF258"/>
    <w:rsid w:val="0B1A0A0D"/>
    <w:rsid w:val="0B1EACDE"/>
    <w:rsid w:val="0B479F80"/>
    <w:rsid w:val="0B56F613"/>
    <w:rsid w:val="0B57E92B"/>
    <w:rsid w:val="0B5BAFFB"/>
    <w:rsid w:val="0B873E40"/>
    <w:rsid w:val="0B90ECC0"/>
    <w:rsid w:val="0BB3738B"/>
    <w:rsid w:val="0BF50C7D"/>
    <w:rsid w:val="0C00BA6B"/>
    <w:rsid w:val="0C3E799F"/>
    <w:rsid w:val="0C6B4DED"/>
    <w:rsid w:val="0C7C50BF"/>
    <w:rsid w:val="0C8B0675"/>
    <w:rsid w:val="0C8BF29E"/>
    <w:rsid w:val="0C8CE4CF"/>
    <w:rsid w:val="0C9228C5"/>
    <w:rsid w:val="0CA3CC14"/>
    <w:rsid w:val="0CC57BC5"/>
    <w:rsid w:val="0CCBEFE3"/>
    <w:rsid w:val="0CCD27A4"/>
    <w:rsid w:val="0CCD3301"/>
    <w:rsid w:val="0CEE5C2A"/>
    <w:rsid w:val="0CF89181"/>
    <w:rsid w:val="0CFA559A"/>
    <w:rsid w:val="0CFEBCD0"/>
    <w:rsid w:val="0D00EDBD"/>
    <w:rsid w:val="0D1844A8"/>
    <w:rsid w:val="0D28CE70"/>
    <w:rsid w:val="0D4D1C89"/>
    <w:rsid w:val="0D4D3F04"/>
    <w:rsid w:val="0D89DF39"/>
    <w:rsid w:val="0D90AA51"/>
    <w:rsid w:val="0DA8ACDC"/>
    <w:rsid w:val="0DB07678"/>
    <w:rsid w:val="0DE77608"/>
    <w:rsid w:val="0E160D2F"/>
    <w:rsid w:val="0E80DBF4"/>
    <w:rsid w:val="0E85D6B8"/>
    <w:rsid w:val="0E8BD698"/>
    <w:rsid w:val="0E9B7E48"/>
    <w:rsid w:val="0E9EE95A"/>
    <w:rsid w:val="0EADA542"/>
    <w:rsid w:val="0EBBF120"/>
    <w:rsid w:val="0EC35CA7"/>
    <w:rsid w:val="0EC68000"/>
    <w:rsid w:val="0ED78422"/>
    <w:rsid w:val="0EE6FE15"/>
    <w:rsid w:val="0EF402E1"/>
    <w:rsid w:val="0F000FAB"/>
    <w:rsid w:val="0F02B581"/>
    <w:rsid w:val="0F0AB43E"/>
    <w:rsid w:val="0F244B5B"/>
    <w:rsid w:val="0F5CF672"/>
    <w:rsid w:val="0F62F4F3"/>
    <w:rsid w:val="0F74688D"/>
    <w:rsid w:val="0FB77BD7"/>
    <w:rsid w:val="0FE29884"/>
    <w:rsid w:val="0FE9B7A3"/>
    <w:rsid w:val="1005F8AB"/>
    <w:rsid w:val="10119190"/>
    <w:rsid w:val="10172BA7"/>
    <w:rsid w:val="1018704A"/>
    <w:rsid w:val="101F2108"/>
    <w:rsid w:val="103BD62D"/>
    <w:rsid w:val="105AE10F"/>
    <w:rsid w:val="10669648"/>
    <w:rsid w:val="107286AE"/>
    <w:rsid w:val="1085AD20"/>
    <w:rsid w:val="1087770E"/>
    <w:rsid w:val="10A91BDC"/>
    <w:rsid w:val="10B4A48D"/>
    <w:rsid w:val="10D9C40D"/>
    <w:rsid w:val="110A89C6"/>
    <w:rsid w:val="113794C7"/>
    <w:rsid w:val="1137C198"/>
    <w:rsid w:val="118C3ECF"/>
    <w:rsid w:val="1191EBA3"/>
    <w:rsid w:val="11A7BE5D"/>
    <w:rsid w:val="11A8228F"/>
    <w:rsid w:val="11A89498"/>
    <w:rsid w:val="11BE7EB2"/>
    <w:rsid w:val="11C5997A"/>
    <w:rsid w:val="12008067"/>
    <w:rsid w:val="122B4C16"/>
    <w:rsid w:val="124DF87A"/>
    <w:rsid w:val="1251B844"/>
    <w:rsid w:val="1283E79B"/>
    <w:rsid w:val="1289C372"/>
    <w:rsid w:val="129DE41E"/>
    <w:rsid w:val="12BBA59B"/>
    <w:rsid w:val="12BE9089"/>
    <w:rsid w:val="12E570FA"/>
    <w:rsid w:val="130639D9"/>
    <w:rsid w:val="130A93E7"/>
    <w:rsid w:val="13134E98"/>
    <w:rsid w:val="1327ACE8"/>
    <w:rsid w:val="1339DF40"/>
    <w:rsid w:val="133D996D"/>
    <w:rsid w:val="134EDCEB"/>
    <w:rsid w:val="135306B3"/>
    <w:rsid w:val="135F902C"/>
    <w:rsid w:val="13869E30"/>
    <w:rsid w:val="139DEAA0"/>
    <w:rsid w:val="13A45760"/>
    <w:rsid w:val="13A8C2AE"/>
    <w:rsid w:val="13A93004"/>
    <w:rsid w:val="13B18B55"/>
    <w:rsid w:val="13B39EE0"/>
    <w:rsid w:val="13BFC46F"/>
    <w:rsid w:val="13C3D2C6"/>
    <w:rsid w:val="13D36194"/>
    <w:rsid w:val="13D54110"/>
    <w:rsid w:val="13D77EF5"/>
    <w:rsid w:val="13DEFD66"/>
    <w:rsid w:val="13E45A1A"/>
    <w:rsid w:val="1401C7C8"/>
    <w:rsid w:val="142D3FC5"/>
    <w:rsid w:val="144DD8B5"/>
    <w:rsid w:val="1460D1F1"/>
    <w:rsid w:val="14750070"/>
    <w:rsid w:val="147AAC5B"/>
    <w:rsid w:val="1484A2A2"/>
    <w:rsid w:val="148BE8BD"/>
    <w:rsid w:val="148EEC6E"/>
    <w:rsid w:val="14C564FB"/>
    <w:rsid w:val="14CF954F"/>
    <w:rsid w:val="150FCD31"/>
    <w:rsid w:val="15665D0B"/>
    <w:rsid w:val="156B5179"/>
    <w:rsid w:val="157FFAE0"/>
    <w:rsid w:val="1588C00E"/>
    <w:rsid w:val="158FE4BC"/>
    <w:rsid w:val="15A6A7E0"/>
    <w:rsid w:val="15ACE330"/>
    <w:rsid w:val="15AFD3B3"/>
    <w:rsid w:val="15C7E875"/>
    <w:rsid w:val="15CB49EA"/>
    <w:rsid w:val="1616726E"/>
    <w:rsid w:val="161C493B"/>
    <w:rsid w:val="1623706B"/>
    <w:rsid w:val="162DCBE9"/>
    <w:rsid w:val="1637A476"/>
    <w:rsid w:val="164E3A2F"/>
    <w:rsid w:val="16523278"/>
    <w:rsid w:val="165D25B4"/>
    <w:rsid w:val="1686D173"/>
    <w:rsid w:val="1690E89D"/>
    <w:rsid w:val="16ABD122"/>
    <w:rsid w:val="16B287F1"/>
    <w:rsid w:val="16BC7A12"/>
    <w:rsid w:val="16C8AD1E"/>
    <w:rsid w:val="16CB1D63"/>
    <w:rsid w:val="16D5BE13"/>
    <w:rsid w:val="16D5D957"/>
    <w:rsid w:val="17352ACE"/>
    <w:rsid w:val="1735AD57"/>
    <w:rsid w:val="1743EE2E"/>
    <w:rsid w:val="176024C2"/>
    <w:rsid w:val="1762F9BB"/>
    <w:rsid w:val="1793C976"/>
    <w:rsid w:val="179BA9D7"/>
    <w:rsid w:val="17A713AC"/>
    <w:rsid w:val="17C40CA4"/>
    <w:rsid w:val="17C71A53"/>
    <w:rsid w:val="17FAF2B5"/>
    <w:rsid w:val="1825E36C"/>
    <w:rsid w:val="1833904A"/>
    <w:rsid w:val="1839CA53"/>
    <w:rsid w:val="18445C04"/>
    <w:rsid w:val="184ACBF7"/>
    <w:rsid w:val="18783541"/>
    <w:rsid w:val="1884B202"/>
    <w:rsid w:val="189C495A"/>
    <w:rsid w:val="18ABE3E4"/>
    <w:rsid w:val="18C5CC9E"/>
    <w:rsid w:val="18C8BFDD"/>
    <w:rsid w:val="192FA8B8"/>
    <w:rsid w:val="19416294"/>
    <w:rsid w:val="19500E43"/>
    <w:rsid w:val="1950A9A7"/>
    <w:rsid w:val="19656CAB"/>
    <w:rsid w:val="19861183"/>
    <w:rsid w:val="19868722"/>
    <w:rsid w:val="19C7349C"/>
    <w:rsid w:val="19CCB4BC"/>
    <w:rsid w:val="19FF7485"/>
    <w:rsid w:val="1A05D12C"/>
    <w:rsid w:val="1A21EE3F"/>
    <w:rsid w:val="1A398110"/>
    <w:rsid w:val="1A67FAE3"/>
    <w:rsid w:val="1A6DE720"/>
    <w:rsid w:val="1A6E8930"/>
    <w:rsid w:val="1A712C89"/>
    <w:rsid w:val="1A7BC570"/>
    <w:rsid w:val="1A7D43B2"/>
    <w:rsid w:val="1A87AE0A"/>
    <w:rsid w:val="1A93D6C4"/>
    <w:rsid w:val="1AA570EC"/>
    <w:rsid w:val="1AB02E05"/>
    <w:rsid w:val="1AB50EFA"/>
    <w:rsid w:val="1ACD2BCB"/>
    <w:rsid w:val="1AF9E25B"/>
    <w:rsid w:val="1B0BCDF9"/>
    <w:rsid w:val="1B10F3CA"/>
    <w:rsid w:val="1B1812D4"/>
    <w:rsid w:val="1B25A39B"/>
    <w:rsid w:val="1B27C101"/>
    <w:rsid w:val="1B2A4D34"/>
    <w:rsid w:val="1B434503"/>
    <w:rsid w:val="1B6CE490"/>
    <w:rsid w:val="1B716BA1"/>
    <w:rsid w:val="1B809BB9"/>
    <w:rsid w:val="1B83972D"/>
    <w:rsid w:val="1B943457"/>
    <w:rsid w:val="1B9F40B6"/>
    <w:rsid w:val="1BA0C9F5"/>
    <w:rsid w:val="1BECB248"/>
    <w:rsid w:val="1BED0BA2"/>
    <w:rsid w:val="1BEF1C7F"/>
    <w:rsid w:val="1C00D9F6"/>
    <w:rsid w:val="1C0984DF"/>
    <w:rsid w:val="1C0B5D7D"/>
    <w:rsid w:val="1C3456E9"/>
    <w:rsid w:val="1C78EDB7"/>
    <w:rsid w:val="1C892ECC"/>
    <w:rsid w:val="1C9EE69D"/>
    <w:rsid w:val="1CAB5346"/>
    <w:rsid w:val="1CD6F1BE"/>
    <w:rsid w:val="1CDAC2A1"/>
    <w:rsid w:val="1CE2EEC9"/>
    <w:rsid w:val="1CE5E52B"/>
    <w:rsid w:val="1CF60C52"/>
    <w:rsid w:val="1CF8E1C6"/>
    <w:rsid w:val="1CFB7F6A"/>
    <w:rsid w:val="1D060C4C"/>
    <w:rsid w:val="1D113077"/>
    <w:rsid w:val="1D1A7698"/>
    <w:rsid w:val="1D6CB6F6"/>
    <w:rsid w:val="1D718EC6"/>
    <w:rsid w:val="1D84FFAE"/>
    <w:rsid w:val="1DE3464B"/>
    <w:rsid w:val="1DE363A4"/>
    <w:rsid w:val="1DFC0F14"/>
    <w:rsid w:val="1E117777"/>
    <w:rsid w:val="1E149F3E"/>
    <w:rsid w:val="1E4E82E0"/>
    <w:rsid w:val="1E7EBF2A"/>
    <w:rsid w:val="1E95ED19"/>
    <w:rsid w:val="1EC2CB23"/>
    <w:rsid w:val="1EC7E3BB"/>
    <w:rsid w:val="1ED590CC"/>
    <w:rsid w:val="1EEC756C"/>
    <w:rsid w:val="1EF39967"/>
    <w:rsid w:val="1EF6DEFD"/>
    <w:rsid w:val="1F301B9F"/>
    <w:rsid w:val="1F30865F"/>
    <w:rsid w:val="1F37EADA"/>
    <w:rsid w:val="1F397650"/>
    <w:rsid w:val="1F7F3405"/>
    <w:rsid w:val="1F809D0A"/>
    <w:rsid w:val="1F923070"/>
    <w:rsid w:val="1FA4496C"/>
    <w:rsid w:val="1FA859E8"/>
    <w:rsid w:val="1FD3EEB2"/>
    <w:rsid w:val="1FD67005"/>
    <w:rsid w:val="1FF2FDB8"/>
    <w:rsid w:val="20157D3F"/>
    <w:rsid w:val="201F5ECD"/>
    <w:rsid w:val="205DDB45"/>
    <w:rsid w:val="206498D4"/>
    <w:rsid w:val="20807CE2"/>
    <w:rsid w:val="20816597"/>
    <w:rsid w:val="20A3653B"/>
    <w:rsid w:val="20A7539A"/>
    <w:rsid w:val="20CD978F"/>
    <w:rsid w:val="20DCF5E3"/>
    <w:rsid w:val="20ECD7B1"/>
    <w:rsid w:val="20ED78CB"/>
    <w:rsid w:val="20F88A55"/>
    <w:rsid w:val="20FAC6FD"/>
    <w:rsid w:val="2116BC62"/>
    <w:rsid w:val="21174E71"/>
    <w:rsid w:val="211DC504"/>
    <w:rsid w:val="212B8DD6"/>
    <w:rsid w:val="21420D58"/>
    <w:rsid w:val="21455D5F"/>
    <w:rsid w:val="214666C6"/>
    <w:rsid w:val="217479A4"/>
    <w:rsid w:val="2174EFB9"/>
    <w:rsid w:val="2189801B"/>
    <w:rsid w:val="21B71851"/>
    <w:rsid w:val="21BA26A0"/>
    <w:rsid w:val="21C8FE11"/>
    <w:rsid w:val="21E4A13D"/>
    <w:rsid w:val="21FB3756"/>
    <w:rsid w:val="2262A8D7"/>
    <w:rsid w:val="2278596A"/>
    <w:rsid w:val="22795468"/>
    <w:rsid w:val="2281DA86"/>
    <w:rsid w:val="228BB838"/>
    <w:rsid w:val="229FA131"/>
    <w:rsid w:val="22B2843B"/>
    <w:rsid w:val="22D9DE6C"/>
    <w:rsid w:val="22DE3733"/>
    <w:rsid w:val="22FFC1B7"/>
    <w:rsid w:val="2301C9E8"/>
    <w:rsid w:val="2303C1A0"/>
    <w:rsid w:val="231BCD60"/>
    <w:rsid w:val="231E457F"/>
    <w:rsid w:val="2335A610"/>
    <w:rsid w:val="23380D01"/>
    <w:rsid w:val="2342BAE3"/>
    <w:rsid w:val="234C5B4E"/>
    <w:rsid w:val="2372BC6F"/>
    <w:rsid w:val="237588FD"/>
    <w:rsid w:val="23773179"/>
    <w:rsid w:val="2379942B"/>
    <w:rsid w:val="239A2F3D"/>
    <w:rsid w:val="23C3AE33"/>
    <w:rsid w:val="23D1F00A"/>
    <w:rsid w:val="23E4B8C1"/>
    <w:rsid w:val="23ECCAE9"/>
    <w:rsid w:val="23FF2CF8"/>
    <w:rsid w:val="240980F3"/>
    <w:rsid w:val="241F50DE"/>
    <w:rsid w:val="2420FAFC"/>
    <w:rsid w:val="242E566A"/>
    <w:rsid w:val="24399C8F"/>
    <w:rsid w:val="243C58A4"/>
    <w:rsid w:val="2448444F"/>
    <w:rsid w:val="244CD6E0"/>
    <w:rsid w:val="2467EED4"/>
    <w:rsid w:val="246EFA66"/>
    <w:rsid w:val="2489DC2C"/>
    <w:rsid w:val="24A8F6F5"/>
    <w:rsid w:val="24A9E128"/>
    <w:rsid w:val="24AA0B5B"/>
    <w:rsid w:val="24BC9E27"/>
    <w:rsid w:val="24CE4276"/>
    <w:rsid w:val="24ED28B8"/>
    <w:rsid w:val="24F3C8FE"/>
    <w:rsid w:val="25040122"/>
    <w:rsid w:val="2506F201"/>
    <w:rsid w:val="2522F43A"/>
    <w:rsid w:val="254193FE"/>
    <w:rsid w:val="254ABFF5"/>
    <w:rsid w:val="25692400"/>
    <w:rsid w:val="25765524"/>
    <w:rsid w:val="2579E496"/>
    <w:rsid w:val="257DE09D"/>
    <w:rsid w:val="257F6462"/>
    <w:rsid w:val="259B69B8"/>
    <w:rsid w:val="25C10B29"/>
    <w:rsid w:val="25C86DA0"/>
    <w:rsid w:val="25CC65AD"/>
    <w:rsid w:val="25D1299C"/>
    <w:rsid w:val="25DA7467"/>
    <w:rsid w:val="25EA8332"/>
    <w:rsid w:val="25EB3E11"/>
    <w:rsid w:val="25F18FFD"/>
    <w:rsid w:val="2628186B"/>
    <w:rsid w:val="2635821C"/>
    <w:rsid w:val="268673BC"/>
    <w:rsid w:val="26C298CA"/>
    <w:rsid w:val="26C5668B"/>
    <w:rsid w:val="26CA4C5E"/>
    <w:rsid w:val="26DEE1C1"/>
    <w:rsid w:val="26EB5D50"/>
    <w:rsid w:val="27100A83"/>
    <w:rsid w:val="2717CCEC"/>
    <w:rsid w:val="2722C494"/>
    <w:rsid w:val="272443CB"/>
    <w:rsid w:val="272B5275"/>
    <w:rsid w:val="273D58AB"/>
    <w:rsid w:val="2747A42E"/>
    <w:rsid w:val="2754D44F"/>
    <w:rsid w:val="275904CE"/>
    <w:rsid w:val="27591634"/>
    <w:rsid w:val="275B4497"/>
    <w:rsid w:val="275D1C6B"/>
    <w:rsid w:val="2765F72C"/>
    <w:rsid w:val="276AFCFF"/>
    <w:rsid w:val="276B3C17"/>
    <w:rsid w:val="277F20EC"/>
    <w:rsid w:val="2784DE61"/>
    <w:rsid w:val="2786E1F2"/>
    <w:rsid w:val="278A5EC5"/>
    <w:rsid w:val="279FDC45"/>
    <w:rsid w:val="27A9085E"/>
    <w:rsid w:val="28025978"/>
    <w:rsid w:val="280549D5"/>
    <w:rsid w:val="28161E16"/>
    <w:rsid w:val="281B7649"/>
    <w:rsid w:val="28284DF9"/>
    <w:rsid w:val="282D19B0"/>
    <w:rsid w:val="282FE195"/>
    <w:rsid w:val="283D37B4"/>
    <w:rsid w:val="285BBD30"/>
    <w:rsid w:val="286360C8"/>
    <w:rsid w:val="2872DEF9"/>
    <w:rsid w:val="28771948"/>
    <w:rsid w:val="287DAECE"/>
    <w:rsid w:val="289FE8AA"/>
    <w:rsid w:val="28A42AE0"/>
    <w:rsid w:val="28C0C5D6"/>
    <w:rsid w:val="28CE92C1"/>
    <w:rsid w:val="2910C9BD"/>
    <w:rsid w:val="29576B24"/>
    <w:rsid w:val="2967F5FC"/>
    <w:rsid w:val="29782BDE"/>
    <w:rsid w:val="297B9C28"/>
    <w:rsid w:val="299A228A"/>
    <w:rsid w:val="29EF538B"/>
    <w:rsid w:val="29F0FA4A"/>
    <w:rsid w:val="2A054E6D"/>
    <w:rsid w:val="2A19A258"/>
    <w:rsid w:val="2A28B00D"/>
    <w:rsid w:val="2A3A5088"/>
    <w:rsid w:val="2A65EA78"/>
    <w:rsid w:val="2A666FB0"/>
    <w:rsid w:val="2A7F5025"/>
    <w:rsid w:val="2A9271CB"/>
    <w:rsid w:val="2A929621"/>
    <w:rsid w:val="2A99BCA2"/>
    <w:rsid w:val="2AB399BB"/>
    <w:rsid w:val="2AB947BF"/>
    <w:rsid w:val="2ABC84DF"/>
    <w:rsid w:val="2AC64AE5"/>
    <w:rsid w:val="2ACB065F"/>
    <w:rsid w:val="2AFE3879"/>
    <w:rsid w:val="2B0FB553"/>
    <w:rsid w:val="2B1409A2"/>
    <w:rsid w:val="2B40BC82"/>
    <w:rsid w:val="2B73BA46"/>
    <w:rsid w:val="2B9EA94A"/>
    <w:rsid w:val="2BA7CC20"/>
    <w:rsid w:val="2BB5D2AB"/>
    <w:rsid w:val="2BC9B642"/>
    <w:rsid w:val="2BE0029C"/>
    <w:rsid w:val="2BE6172F"/>
    <w:rsid w:val="2BEEEC52"/>
    <w:rsid w:val="2BF82B39"/>
    <w:rsid w:val="2C023AB6"/>
    <w:rsid w:val="2C1997DE"/>
    <w:rsid w:val="2C27A18D"/>
    <w:rsid w:val="2C2B28AC"/>
    <w:rsid w:val="2C2BC8A1"/>
    <w:rsid w:val="2C308D8E"/>
    <w:rsid w:val="2C39E983"/>
    <w:rsid w:val="2C3B4951"/>
    <w:rsid w:val="2C5D3A20"/>
    <w:rsid w:val="2C68CD18"/>
    <w:rsid w:val="2C888D03"/>
    <w:rsid w:val="2C9EE0B4"/>
    <w:rsid w:val="2CA7BAEA"/>
    <w:rsid w:val="2CBE97E5"/>
    <w:rsid w:val="2CDDD0D9"/>
    <w:rsid w:val="2D023135"/>
    <w:rsid w:val="2D0300BB"/>
    <w:rsid w:val="2D0EA84F"/>
    <w:rsid w:val="2D0F7CB0"/>
    <w:rsid w:val="2D250F61"/>
    <w:rsid w:val="2D2845BC"/>
    <w:rsid w:val="2D389626"/>
    <w:rsid w:val="2D417DAD"/>
    <w:rsid w:val="2D62E9A6"/>
    <w:rsid w:val="2D7D2315"/>
    <w:rsid w:val="2D995F9A"/>
    <w:rsid w:val="2DAE5878"/>
    <w:rsid w:val="2DBF2238"/>
    <w:rsid w:val="2DD7752E"/>
    <w:rsid w:val="2DE7D626"/>
    <w:rsid w:val="2E0B26EC"/>
    <w:rsid w:val="2E1F934B"/>
    <w:rsid w:val="2E608ACF"/>
    <w:rsid w:val="2E91B77B"/>
    <w:rsid w:val="2ED793EA"/>
    <w:rsid w:val="2EDF0CCD"/>
    <w:rsid w:val="2EE0A88F"/>
    <w:rsid w:val="2EECCD74"/>
    <w:rsid w:val="2F4FEB93"/>
    <w:rsid w:val="2F62B0F4"/>
    <w:rsid w:val="2F6CE985"/>
    <w:rsid w:val="2F72729A"/>
    <w:rsid w:val="2F74E596"/>
    <w:rsid w:val="2F7E1B0C"/>
    <w:rsid w:val="2F9E7A8E"/>
    <w:rsid w:val="2FB5CC86"/>
    <w:rsid w:val="30136967"/>
    <w:rsid w:val="3023E056"/>
    <w:rsid w:val="302B130B"/>
    <w:rsid w:val="3031FA2C"/>
    <w:rsid w:val="3041EED9"/>
    <w:rsid w:val="30493B98"/>
    <w:rsid w:val="30834C7A"/>
    <w:rsid w:val="308FCC8C"/>
    <w:rsid w:val="309775B9"/>
    <w:rsid w:val="30986C53"/>
    <w:rsid w:val="30BD440C"/>
    <w:rsid w:val="30EF8426"/>
    <w:rsid w:val="30F3B115"/>
    <w:rsid w:val="31350695"/>
    <w:rsid w:val="3142035C"/>
    <w:rsid w:val="314E9378"/>
    <w:rsid w:val="315E12C6"/>
    <w:rsid w:val="3160B8C7"/>
    <w:rsid w:val="3160C59E"/>
    <w:rsid w:val="31661F15"/>
    <w:rsid w:val="316C80A9"/>
    <w:rsid w:val="3195426A"/>
    <w:rsid w:val="31B536AE"/>
    <w:rsid w:val="31B9EF0A"/>
    <w:rsid w:val="31C55E5B"/>
    <w:rsid w:val="31CDCA8D"/>
    <w:rsid w:val="31EADB40"/>
    <w:rsid w:val="3221238B"/>
    <w:rsid w:val="3221EDEA"/>
    <w:rsid w:val="32349E0D"/>
    <w:rsid w:val="32382CCE"/>
    <w:rsid w:val="324FB2FE"/>
    <w:rsid w:val="325B6C4A"/>
    <w:rsid w:val="325EBAF9"/>
    <w:rsid w:val="328E1969"/>
    <w:rsid w:val="3296C3CD"/>
    <w:rsid w:val="3297A7A9"/>
    <w:rsid w:val="3298B051"/>
    <w:rsid w:val="329FCF12"/>
    <w:rsid w:val="32D4692A"/>
    <w:rsid w:val="330630D9"/>
    <w:rsid w:val="330B2519"/>
    <w:rsid w:val="3313571A"/>
    <w:rsid w:val="33265BDA"/>
    <w:rsid w:val="33358F61"/>
    <w:rsid w:val="3341B10F"/>
    <w:rsid w:val="3344E016"/>
    <w:rsid w:val="334A052F"/>
    <w:rsid w:val="334AB8BD"/>
    <w:rsid w:val="334EC6D0"/>
    <w:rsid w:val="33500EFB"/>
    <w:rsid w:val="337214C9"/>
    <w:rsid w:val="3372E1C4"/>
    <w:rsid w:val="33733EDC"/>
    <w:rsid w:val="3375BD87"/>
    <w:rsid w:val="337C6A17"/>
    <w:rsid w:val="33812B5A"/>
    <w:rsid w:val="338253E6"/>
    <w:rsid w:val="3386ABA1"/>
    <w:rsid w:val="33887D51"/>
    <w:rsid w:val="33A6554D"/>
    <w:rsid w:val="33E09D2D"/>
    <w:rsid w:val="33E1A052"/>
    <w:rsid w:val="3414F7AA"/>
    <w:rsid w:val="341D6580"/>
    <w:rsid w:val="3442EEAD"/>
    <w:rsid w:val="34495576"/>
    <w:rsid w:val="3453F7A4"/>
    <w:rsid w:val="345E4D33"/>
    <w:rsid w:val="348BB6D7"/>
    <w:rsid w:val="349AE4A7"/>
    <w:rsid w:val="349F7967"/>
    <w:rsid w:val="34A4BA75"/>
    <w:rsid w:val="34A5C46F"/>
    <w:rsid w:val="34BF4411"/>
    <w:rsid w:val="34D32BE1"/>
    <w:rsid w:val="34D5E760"/>
    <w:rsid w:val="34D62A5B"/>
    <w:rsid w:val="34E8D385"/>
    <w:rsid w:val="34EA3348"/>
    <w:rsid w:val="34F4F65C"/>
    <w:rsid w:val="34FB0802"/>
    <w:rsid w:val="3519C980"/>
    <w:rsid w:val="351AB4BD"/>
    <w:rsid w:val="352005B1"/>
    <w:rsid w:val="3528A65B"/>
    <w:rsid w:val="3530BC15"/>
    <w:rsid w:val="353B8234"/>
    <w:rsid w:val="3547E97A"/>
    <w:rsid w:val="354E89EE"/>
    <w:rsid w:val="358E51A5"/>
    <w:rsid w:val="358FC86C"/>
    <w:rsid w:val="35A3873F"/>
    <w:rsid w:val="35AE2D5C"/>
    <w:rsid w:val="35BAA41B"/>
    <w:rsid w:val="35C8863A"/>
    <w:rsid w:val="35E7F9B3"/>
    <w:rsid w:val="361B37D3"/>
    <w:rsid w:val="3625F55C"/>
    <w:rsid w:val="36394233"/>
    <w:rsid w:val="363CCC76"/>
    <w:rsid w:val="364933FE"/>
    <w:rsid w:val="364AE342"/>
    <w:rsid w:val="36850DBC"/>
    <w:rsid w:val="36A15827"/>
    <w:rsid w:val="36AED097"/>
    <w:rsid w:val="36B2BC43"/>
    <w:rsid w:val="36B4175A"/>
    <w:rsid w:val="36B42D6C"/>
    <w:rsid w:val="36B9ABEC"/>
    <w:rsid w:val="36BE9AB2"/>
    <w:rsid w:val="36BF2D06"/>
    <w:rsid w:val="36CB32C7"/>
    <w:rsid w:val="36D135A9"/>
    <w:rsid w:val="36E11AE1"/>
    <w:rsid w:val="36E96B93"/>
    <w:rsid w:val="371F0995"/>
    <w:rsid w:val="3729BFA1"/>
    <w:rsid w:val="376910E7"/>
    <w:rsid w:val="3769F64C"/>
    <w:rsid w:val="376C2BDE"/>
    <w:rsid w:val="376DF473"/>
    <w:rsid w:val="37790997"/>
    <w:rsid w:val="377A2A85"/>
    <w:rsid w:val="3789DFC7"/>
    <w:rsid w:val="3799A043"/>
    <w:rsid w:val="37D4DF61"/>
    <w:rsid w:val="37D9FCC0"/>
    <w:rsid w:val="38059819"/>
    <w:rsid w:val="38137D87"/>
    <w:rsid w:val="38212D30"/>
    <w:rsid w:val="383718BA"/>
    <w:rsid w:val="38378D3A"/>
    <w:rsid w:val="3847A345"/>
    <w:rsid w:val="384C5955"/>
    <w:rsid w:val="384FE7BB"/>
    <w:rsid w:val="385BF333"/>
    <w:rsid w:val="386AA178"/>
    <w:rsid w:val="38A0C324"/>
    <w:rsid w:val="38A7A469"/>
    <w:rsid w:val="38A8C75F"/>
    <w:rsid w:val="38BCD732"/>
    <w:rsid w:val="38BF131D"/>
    <w:rsid w:val="38C1296D"/>
    <w:rsid w:val="38E2DC80"/>
    <w:rsid w:val="38F9D593"/>
    <w:rsid w:val="3903802B"/>
    <w:rsid w:val="391349A4"/>
    <w:rsid w:val="3914D9F8"/>
    <w:rsid w:val="3938161D"/>
    <w:rsid w:val="39393BCF"/>
    <w:rsid w:val="395236D2"/>
    <w:rsid w:val="3974FBAA"/>
    <w:rsid w:val="398C77CE"/>
    <w:rsid w:val="398EDDD2"/>
    <w:rsid w:val="399EEBED"/>
    <w:rsid w:val="399F215C"/>
    <w:rsid w:val="39B0DA85"/>
    <w:rsid w:val="39CD04D5"/>
    <w:rsid w:val="39F544DD"/>
    <w:rsid w:val="39F9A92A"/>
    <w:rsid w:val="39FA774A"/>
    <w:rsid w:val="3A0BAAC7"/>
    <w:rsid w:val="3A18B882"/>
    <w:rsid w:val="3A35C984"/>
    <w:rsid w:val="3A3E9BB1"/>
    <w:rsid w:val="3A597154"/>
    <w:rsid w:val="3A8AA795"/>
    <w:rsid w:val="3A9B216C"/>
    <w:rsid w:val="3AAA995D"/>
    <w:rsid w:val="3AACA3B2"/>
    <w:rsid w:val="3AC2FE14"/>
    <w:rsid w:val="3AC9248A"/>
    <w:rsid w:val="3ACDED1D"/>
    <w:rsid w:val="3AD2199A"/>
    <w:rsid w:val="3B0AA95D"/>
    <w:rsid w:val="3B0F83D7"/>
    <w:rsid w:val="3B109305"/>
    <w:rsid w:val="3B15506B"/>
    <w:rsid w:val="3B25F7E4"/>
    <w:rsid w:val="3B28A79E"/>
    <w:rsid w:val="3B545BE5"/>
    <w:rsid w:val="3B69ED48"/>
    <w:rsid w:val="3B6A3D17"/>
    <w:rsid w:val="3B73A904"/>
    <w:rsid w:val="3B8A0840"/>
    <w:rsid w:val="3B8A7B02"/>
    <w:rsid w:val="3BC23085"/>
    <w:rsid w:val="3BC3FBE4"/>
    <w:rsid w:val="3BCEAF48"/>
    <w:rsid w:val="3BE42353"/>
    <w:rsid w:val="3BECA987"/>
    <w:rsid w:val="3C0F25CD"/>
    <w:rsid w:val="3C1A4378"/>
    <w:rsid w:val="3C29A70A"/>
    <w:rsid w:val="3C2C512A"/>
    <w:rsid w:val="3C35FF15"/>
    <w:rsid w:val="3C416596"/>
    <w:rsid w:val="3C4DD474"/>
    <w:rsid w:val="3C66F0BF"/>
    <w:rsid w:val="3C6BEC18"/>
    <w:rsid w:val="3C7E02B1"/>
    <w:rsid w:val="3CA5F137"/>
    <w:rsid w:val="3CB08250"/>
    <w:rsid w:val="3CB48478"/>
    <w:rsid w:val="3CBD2FBD"/>
    <w:rsid w:val="3CC841E2"/>
    <w:rsid w:val="3CD1AF4C"/>
    <w:rsid w:val="3CF1D78E"/>
    <w:rsid w:val="3D06D4F4"/>
    <w:rsid w:val="3D22DB4A"/>
    <w:rsid w:val="3D25C36A"/>
    <w:rsid w:val="3D5A0AEE"/>
    <w:rsid w:val="3D7F9732"/>
    <w:rsid w:val="3D8011AD"/>
    <w:rsid w:val="3D92053B"/>
    <w:rsid w:val="3DA47472"/>
    <w:rsid w:val="3DB14B2F"/>
    <w:rsid w:val="3DCD80E0"/>
    <w:rsid w:val="3E07953B"/>
    <w:rsid w:val="3E0B092A"/>
    <w:rsid w:val="3E1165C9"/>
    <w:rsid w:val="3E628680"/>
    <w:rsid w:val="3E6738B1"/>
    <w:rsid w:val="3E6FC560"/>
    <w:rsid w:val="3E8873B0"/>
    <w:rsid w:val="3E902DB4"/>
    <w:rsid w:val="3EAC6A0C"/>
    <w:rsid w:val="3EAEA03C"/>
    <w:rsid w:val="3EB58B5D"/>
    <w:rsid w:val="3EB91618"/>
    <w:rsid w:val="3ED93AA0"/>
    <w:rsid w:val="3EE8E6CC"/>
    <w:rsid w:val="3F21364A"/>
    <w:rsid w:val="3F660E38"/>
    <w:rsid w:val="3F6B1DD1"/>
    <w:rsid w:val="3F841B7C"/>
    <w:rsid w:val="3F931F64"/>
    <w:rsid w:val="3FA0CF0F"/>
    <w:rsid w:val="3FA38CDA"/>
    <w:rsid w:val="3FB51896"/>
    <w:rsid w:val="3FBD552C"/>
    <w:rsid w:val="3FBEF2EB"/>
    <w:rsid w:val="3FC34B94"/>
    <w:rsid w:val="3FC6FC1C"/>
    <w:rsid w:val="3FEF67DB"/>
    <w:rsid w:val="4005F1B2"/>
    <w:rsid w:val="4009EE1D"/>
    <w:rsid w:val="401A656C"/>
    <w:rsid w:val="401E5C8D"/>
    <w:rsid w:val="40203540"/>
    <w:rsid w:val="40250325"/>
    <w:rsid w:val="40262255"/>
    <w:rsid w:val="40312C90"/>
    <w:rsid w:val="404E67F7"/>
    <w:rsid w:val="404E7EFA"/>
    <w:rsid w:val="405077BC"/>
    <w:rsid w:val="406231B6"/>
    <w:rsid w:val="40A53215"/>
    <w:rsid w:val="40BF3636"/>
    <w:rsid w:val="40D51FD2"/>
    <w:rsid w:val="40DE13E2"/>
    <w:rsid w:val="411202A6"/>
    <w:rsid w:val="411E09CA"/>
    <w:rsid w:val="411E7C9B"/>
    <w:rsid w:val="413B7948"/>
    <w:rsid w:val="41411D0D"/>
    <w:rsid w:val="4145D9AB"/>
    <w:rsid w:val="4148AF77"/>
    <w:rsid w:val="414ED2A5"/>
    <w:rsid w:val="415A4B79"/>
    <w:rsid w:val="4164D50D"/>
    <w:rsid w:val="41662995"/>
    <w:rsid w:val="4166B231"/>
    <w:rsid w:val="4173BB63"/>
    <w:rsid w:val="418150BC"/>
    <w:rsid w:val="4190D6AD"/>
    <w:rsid w:val="41A4DAB4"/>
    <w:rsid w:val="41B44DC2"/>
    <w:rsid w:val="41BBA45D"/>
    <w:rsid w:val="41BBDC62"/>
    <w:rsid w:val="41CA3883"/>
    <w:rsid w:val="41D493D5"/>
    <w:rsid w:val="41DC5311"/>
    <w:rsid w:val="41E2DCD9"/>
    <w:rsid w:val="41E9E28B"/>
    <w:rsid w:val="41EC318E"/>
    <w:rsid w:val="41ED6A0D"/>
    <w:rsid w:val="41F280D6"/>
    <w:rsid w:val="4203E646"/>
    <w:rsid w:val="42152CE0"/>
    <w:rsid w:val="4221B2A5"/>
    <w:rsid w:val="422323C5"/>
    <w:rsid w:val="422FAAF1"/>
    <w:rsid w:val="423A18A7"/>
    <w:rsid w:val="424E5E65"/>
    <w:rsid w:val="427760BA"/>
    <w:rsid w:val="428CD5AC"/>
    <w:rsid w:val="42907DAE"/>
    <w:rsid w:val="42A84FDD"/>
    <w:rsid w:val="42B7D6A4"/>
    <w:rsid w:val="42D7CDC1"/>
    <w:rsid w:val="42DD3FF5"/>
    <w:rsid w:val="42F93090"/>
    <w:rsid w:val="43051469"/>
    <w:rsid w:val="430739F3"/>
    <w:rsid w:val="432E5B98"/>
    <w:rsid w:val="4335299B"/>
    <w:rsid w:val="4338F74F"/>
    <w:rsid w:val="4364C627"/>
    <w:rsid w:val="437BC70C"/>
    <w:rsid w:val="437EAD3A"/>
    <w:rsid w:val="4382EA49"/>
    <w:rsid w:val="43A65F4D"/>
    <w:rsid w:val="43ABCC64"/>
    <w:rsid w:val="43B02971"/>
    <w:rsid w:val="43B08AC1"/>
    <w:rsid w:val="43D46D62"/>
    <w:rsid w:val="43D5560C"/>
    <w:rsid w:val="43F477F5"/>
    <w:rsid w:val="43F62C52"/>
    <w:rsid w:val="44050EE7"/>
    <w:rsid w:val="441569D0"/>
    <w:rsid w:val="4426B361"/>
    <w:rsid w:val="4430CAFB"/>
    <w:rsid w:val="4439D874"/>
    <w:rsid w:val="443A6FEC"/>
    <w:rsid w:val="443FE9D7"/>
    <w:rsid w:val="44457682"/>
    <w:rsid w:val="44495FA4"/>
    <w:rsid w:val="44515A4A"/>
    <w:rsid w:val="449231E4"/>
    <w:rsid w:val="449AB94C"/>
    <w:rsid w:val="44B95664"/>
    <w:rsid w:val="44BEFF74"/>
    <w:rsid w:val="44D45BA3"/>
    <w:rsid w:val="44E0E31B"/>
    <w:rsid w:val="44E2997A"/>
    <w:rsid w:val="44E3507F"/>
    <w:rsid w:val="44E5FB72"/>
    <w:rsid w:val="44F47895"/>
    <w:rsid w:val="44F74D20"/>
    <w:rsid w:val="4505B018"/>
    <w:rsid w:val="450FFBA3"/>
    <w:rsid w:val="4529625F"/>
    <w:rsid w:val="45304B83"/>
    <w:rsid w:val="453B407C"/>
    <w:rsid w:val="4547C31E"/>
    <w:rsid w:val="455027C5"/>
    <w:rsid w:val="455E459A"/>
    <w:rsid w:val="455F1AB4"/>
    <w:rsid w:val="458AA02F"/>
    <w:rsid w:val="4592AA24"/>
    <w:rsid w:val="45988485"/>
    <w:rsid w:val="45A1D7FD"/>
    <w:rsid w:val="45AC1443"/>
    <w:rsid w:val="45AEB4BC"/>
    <w:rsid w:val="45D41273"/>
    <w:rsid w:val="45E893A2"/>
    <w:rsid w:val="4601297D"/>
    <w:rsid w:val="460B187B"/>
    <w:rsid w:val="461440B5"/>
    <w:rsid w:val="46212161"/>
    <w:rsid w:val="463DEF1D"/>
    <w:rsid w:val="4684818C"/>
    <w:rsid w:val="469930CE"/>
    <w:rsid w:val="46B57085"/>
    <w:rsid w:val="46B6FBDD"/>
    <w:rsid w:val="46BD65BF"/>
    <w:rsid w:val="46C1E497"/>
    <w:rsid w:val="46DDC3E8"/>
    <w:rsid w:val="46EA2C96"/>
    <w:rsid w:val="47069151"/>
    <w:rsid w:val="470DCEA9"/>
    <w:rsid w:val="4712BDE5"/>
    <w:rsid w:val="472C60FE"/>
    <w:rsid w:val="473EA001"/>
    <w:rsid w:val="474CA1A4"/>
    <w:rsid w:val="4762C7DD"/>
    <w:rsid w:val="4771A7A2"/>
    <w:rsid w:val="47733AEF"/>
    <w:rsid w:val="4775EA2D"/>
    <w:rsid w:val="4785DF9B"/>
    <w:rsid w:val="479244CD"/>
    <w:rsid w:val="479AAD7A"/>
    <w:rsid w:val="47C2ED6C"/>
    <w:rsid w:val="47C69EEA"/>
    <w:rsid w:val="47D264E9"/>
    <w:rsid w:val="47EF8CEC"/>
    <w:rsid w:val="47F84A0C"/>
    <w:rsid w:val="47FBA4E5"/>
    <w:rsid w:val="48059B5B"/>
    <w:rsid w:val="481691C1"/>
    <w:rsid w:val="4835AC61"/>
    <w:rsid w:val="483769DF"/>
    <w:rsid w:val="4838D3DE"/>
    <w:rsid w:val="48459DE7"/>
    <w:rsid w:val="48875DD6"/>
    <w:rsid w:val="488FF15A"/>
    <w:rsid w:val="48A565D5"/>
    <w:rsid w:val="48B6CED4"/>
    <w:rsid w:val="48B6D8C8"/>
    <w:rsid w:val="48D27B61"/>
    <w:rsid w:val="48F73E48"/>
    <w:rsid w:val="4901CE8F"/>
    <w:rsid w:val="49020D00"/>
    <w:rsid w:val="490994C0"/>
    <w:rsid w:val="490FF352"/>
    <w:rsid w:val="4927A353"/>
    <w:rsid w:val="4939CA75"/>
    <w:rsid w:val="49427661"/>
    <w:rsid w:val="4942F529"/>
    <w:rsid w:val="4943D9BA"/>
    <w:rsid w:val="495B5289"/>
    <w:rsid w:val="496234BA"/>
    <w:rsid w:val="4980CD04"/>
    <w:rsid w:val="498E0AF5"/>
    <w:rsid w:val="49AB2D1A"/>
    <w:rsid w:val="49E72144"/>
    <w:rsid w:val="49ED3137"/>
    <w:rsid w:val="49F34B93"/>
    <w:rsid w:val="4A0B0163"/>
    <w:rsid w:val="4A24410F"/>
    <w:rsid w:val="4A2719A0"/>
    <w:rsid w:val="4A3F368C"/>
    <w:rsid w:val="4A499195"/>
    <w:rsid w:val="4A591C03"/>
    <w:rsid w:val="4A6983D4"/>
    <w:rsid w:val="4A7B5E37"/>
    <w:rsid w:val="4A879478"/>
    <w:rsid w:val="4A8C21FB"/>
    <w:rsid w:val="4A9F7C3F"/>
    <w:rsid w:val="4AD2E4B7"/>
    <w:rsid w:val="4AF8915E"/>
    <w:rsid w:val="4B036F7B"/>
    <w:rsid w:val="4B385A83"/>
    <w:rsid w:val="4B41A036"/>
    <w:rsid w:val="4B42D6C4"/>
    <w:rsid w:val="4B485DD1"/>
    <w:rsid w:val="4B528B96"/>
    <w:rsid w:val="4B611D97"/>
    <w:rsid w:val="4B658215"/>
    <w:rsid w:val="4B78E869"/>
    <w:rsid w:val="4BA58D63"/>
    <w:rsid w:val="4BCA060B"/>
    <w:rsid w:val="4BD4FE2D"/>
    <w:rsid w:val="4BFE0D91"/>
    <w:rsid w:val="4C0F0067"/>
    <w:rsid w:val="4C47792B"/>
    <w:rsid w:val="4C49D98F"/>
    <w:rsid w:val="4C656B33"/>
    <w:rsid w:val="4C6D72A8"/>
    <w:rsid w:val="4C8D8A76"/>
    <w:rsid w:val="4C959711"/>
    <w:rsid w:val="4CAB537A"/>
    <w:rsid w:val="4CBCD387"/>
    <w:rsid w:val="4CCF3439"/>
    <w:rsid w:val="4CDA65CD"/>
    <w:rsid w:val="4CED5FD8"/>
    <w:rsid w:val="4CF49DFF"/>
    <w:rsid w:val="4D119A32"/>
    <w:rsid w:val="4D1322D5"/>
    <w:rsid w:val="4D3B6A1C"/>
    <w:rsid w:val="4D4563F5"/>
    <w:rsid w:val="4D5C2AB2"/>
    <w:rsid w:val="4D5DDE24"/>
    <w:rsid w:val="4D95F636"/>
    <w:rsid w:val="4DA1DF2C"/>
    <w:rsid w:val="4DA2C2E9"/>
    <w:rsid w:val="4DC6D87C"/>
    <w:rsid w:val="4DC946D0"/>
    <w:rsid w:val="4DE78935"/>
    <w:rsid w:val="4DF7E2FE"/>
    <w:rsid w:val="4E01938B"/>
    <w:rsid w:val="4E09D299"/>
    <w:rsid w:val="4E20248F"/>
    <w:rsid w:val="4E3B9550"/>
    <w:rsid w:val="4E416A6F"/>
    <w:rsid w:val="4E49DB21"/>
    <w:rsid w:val="4E6A1F12"/>
    <w:rsid w:val="4E8BE941"/>
    <w:rsid w:val="4E977FB9"/>
    <w:rsid w:val="4EB219C5"/>
    <w:rsid w:val="4EBFDC5D"/>
    <w:rsid w:val="4EC95E24"/>
    <w:rsid w:val="4ECBB77D"/>
    <w:rsid w:val="4ED4BCA8"/>
    <w:rsid w:val="4EEF7344"/>
    <w:rsid w:val="4EF35DA1"/>
    <w:rsid w:val="4F0DCBDA"/>
    <w:rsid w:val="4F22824A"/>
    <w:rsid w:val="4F2790D5"/>
    <w:rsid w:val="4F331EF9"/>
    <w:rsid w:val="4F3BBBD9"/>
    <w:rsid w:val="4F409088"/>
    <w:rsid w:val="4F498D25"/>
    <w:rsid w:val="4F4FAF28"/>
    <w:rsid w:val="4F556A90"/>
    <w:rsid w:val="4F754D7F"/>
    <w:rsid w:val="4F7F3320"/>
    <w:rsid w:val="4F8B5676"/>
    <w:rsid w:val="4F8E35F6"/>
    <w:rsid w:val="4F8F5490"/>
    <w:rsid w:val="4F92C708"/>
    <w:rsid w:val="4F935E40"/>
    <w:rsid w:val="4F98CA57"/>
    <w:rsid w:val="4FABB05F"/>
    <w:rsid w:val="4FCCC137"/>
    <w:rsid w:val="4FE4581A"/>
    <w:rsid w:val="4FF885D0"/>
    <w:rsid w:val="4FFDAE5F"/>
    <w:rsid w:val="50190A6E"/>
    <w:rsid w:val="501E8AAF"/>
    <w:rsid w:val="50307E58"/>
    <w:rsid w:val="5043F8A3"/>
    <w:rsid w:val="5079475E"/>
    <w:rsid w:val="50A921AC"/>
    <w:rsid w:val="50B6A376"/>
    <w:rsid w:val="50BC4FD4"/>
    <w:rsid w:val="50D40E6B"/>
    <w:rsid w:val="50F69D75"/>
    <w:rsid w:val="50FE8F47"/>
    <w:rsid w:val="5118A561"/>
    <w:rsid w:val="51249C36"/>
    <w:rsid w:val="51617922"/>
    <w:rsid w:val="5162DAE9"/>
    <w:rsid w:val="517DDB55"/>
    <w:rsid w:val="51B121C7"/>
    <w:rsid w:val="51C89B07"/>
    <w:rsid w:val="51DAC3E0"/>
    <w:rsid w:val="5202A227"/>
    <w:rsid w:val="521BAA85"/>
    <w:rsid w:val="5222ACD5"/>
    <w:rsid w:val="5234982F"/>
    <w:rsid w:val="52378D6D"/>
    <w:rsid w:val="524EE843"/>
    <w:rsid w:val="524FB12B"/>
    <w:rsid w:val="524FCD7F"/>
    <w:rsid w:val="52576BC7"/>
    <w:rsid w:val="5258313E"/>
    <w:rsid w:val="52659744"/>
    <w:rsid w:val="52B0BC93"/>
    <w:rsid w:val="52B191E6"/>
    <w:rsid w:val="52C5BF95"/>
    <w:rsid w:val="532621EF"/>
    <w:rsid w:val="533B8AB8"/>
    <w:rsid w:val="5351ED03"/>
    <w:rsid w:val="5369E0F0"/>
    <w:rsid w:val="537F309F"/>
    <w:rsid w:val="53847D9A"/>
    <w:rsid w:val="53889C8C"/>
    <w:rsid w:val="539390A5"/>
    <w:rsid w:val="53963C62"/>
    <w:rsid w:val="53AC7A9E"/>
    <w:rsid w:val="53B3B621"/>
    <w:rsid w:val="53B77AE6"/>
    <w:rsid w:val="53BBEE98"/>
    <w:rsid w:val="53BE79AC"/>
    <w:rsid w:val="53BE7D36"/>
    <w:rsid w:val="53CFA3B9"/>
    <w:rsid w:val="53F26A85"/>
    <w:rsid w:val="5408FF25"/>
    <w:rsid w:val="54162CEC"/>
    <w:rsid w:val="5421A4FC"/>
    <w:rsid w:val="5425CC1E"/>
    <w:rsid w:val="54590F32"/>
    <w:rsid w:val="545A9E17"/>
    <w:rsid w:val="5469E1F7"/>
    <w:rsid w:val="547B3358"/>
    <w:rsid w:val="547E0B3E"/>
    <w:rsid w:val="548F8463"/>
    <w:rsid w:val="54A21DB8"/>
    <w:rsid w:val="54D143AF"/>
    <w:rsid w:val="55038899"/>
    <w:rsid w:val="55187B69"/>
    <w:rsid w:val="55231A8C"/>
    <w:rsid w:val="5532136A"/>
    <w:rsid w:val="5549DB6F"/>
    <w:rsid w:val="558515B2"/>
    <w:rsid w:val="55A445FA"/>
    <w:rsid w:val="55B92D1B"/>
    <w:rsid w:val="55BCF204"/>
    <w:rsid w:val="55D0BE30"/>
    <w:rsid w:val="55E3F81B"/>
    <w:rsid w:val="55FC01DF"/>
    <w:rsid w:val="561F2923"/>
    <w:rsid w:val="56256AB4"/>
    <w:rsid w:val="564007E6"/>
    <w:rsid w:val="56466968"/>
    <w:rsid w:val="564BB682"/>
    <w:rsid w:val="56525DB3"/>
    <w:rsid w:val="5664576D"/>
    <w:rsid w:val="5695871A"/>
    <w:rsid w:val="569D56D0"/>
    <w:rsid w:val="56A7F546"/>
    <w:rsid w:val="56A8720D"/>
    <w:rsid w:val="56C30E37"/>
    <w:rsid w:val="56DD574A"/>
    <w:rsid w:val="56E3F422"/>
    <w:rsid w:val="56E41B60"/>
    <w:rsid w:val="57009EDB"/>
    <w:rsid w:val="570ACA16"/>
    <w:rsid w:val="571EF2CF"/>
    <w:rsid w:val="57240B29"/>
    <w:rsid w:val="573A44EC"/>
    <w:rsid w:val="573BEBE4"/>
    <w:rsid w:val="573CED56"/>
    <w:rsid w:val="575F9D7B"/>
    <w:rsid w:val="576642F9"/>
    <w:rsid w:val="57907F48"/>
    <w:rsid w:val="57B10D18"/>
    <w:rsid w:val="57C72525"/>
    <w:rsid w:val="57D64EF6"/>
    <w:rsid w:val="57E7E851"/>
    <w:rsid w:val="57F5312B"/>
    <w:rsid w:val="58007BA5"/>
    <w:rsid w:val="58135985"/>
    <w:rsid w:val="5819EA6A"/>
    <w:rsid w:val="58206180"/>
    <w:rsid w:val="58263831"/>
    <w:rsid w:val="582B534B"/>
    <w:rsid w:val="5868856C"/>
    <w:rsid w:val="587D71A5"/>
    <w:rsid w:val="58810CAF"/>
    <w:rsid w:val="5895941A"/>
    <w:rsid w:val="58A127D6"/>
    <w:rsid w:val="58A3C554"/>
    <w:rsid w:val="58B2F53F"/>
    <w:rsid w:val="58C43A25"/>
    <w:rsid w:val="58C81576"/>
    <w:rsid w:val="58D6154D"/>
    <w:rsid w:val="58D73B5B"/>
    <w:rsid w:val="58D94CDE"/>
    <w:rsid w:val="58DB43D3"/>
    <w:rsid w:val="58DE0A84"/>
    <w:rsid w:val="58F0AED3"/>
    <w:rsid w:val="591531D1"/>
    <w:rsid w:val="591958D8"/>
    <w:rsid w:val="591A47A5"/>
    <w:rsid w:val="593F2CDD"/>
    <w:rsid w:val="59669DBD"/>
    <w:rsid w:val="597A0EFC"/>
    <w:rsid w:val="5981910D"/>
    <w:rsid w:val="59A2CB42"/>
    <w:rsid w:val="59AFFA81"/>
    <w:rsid w:val="59B93C75"/>
    <w:rsid w:val="59C8B18A"/>
    <w:rsid w:val="59C93E6A"/>
    <w:rsid w:val="59F07806"/>
    <w:rsid w:val="5A01AE84"/>
    <w:rsid w:val="5A379118"/>
    <w:rsid w:val="5A393409"/>
    <w:rsid w:val="5A3FE4C7"/>
    <w:rsid w:val="5A58E7B5"/>
    <w:rsid w:val="5A691A2A"/>
    <w:rsid w:val="5A875B92"/>
    <w:rsid w:val="5A8A3888"/>
    <w:rsid w:val="5A94B72A"/>
    <w:rsid w:val="5A9D3150"/>
    <w:rsid w:val="5AB0E69A"/>
    <w:rsid w:val="5AC8A19A"/>
    <w:rsid w:val="5AD0785B"/>
    <w:rsid w:val="5AE2A841"/>
    <w:rsid w:val="5AE5D05B"/>
    <w:rsid w:val="5AEA9A74"/>
    <w:rsid w:val="5B01F8C8"/>
    <w:rsid w:val="5B10F66D"/>
    <w:rsid w:val="5B190C7B"/>
    <w:rsid w:val="5B202667"/>
    <w:rsid w:val="5B3AE282"/>
    <w:rsid w:val="5B3E9BA3"/>
    <w:rsid w:val="5B4EE5D5"/>
    <w:rsid w:val="5B650ECB"/>
    <w:rsid w:val="5B6D4C62"/>
    <w:rsid w:val="5B72C8AA"/>
    <w:rsid w:val="5B757D9C"/>
    <w:rsid w:val="5B7F52F3"/>
    <w:rsid w:val="5B900726"/>
    <w:rsid w:val="5B97BC46"/>
    <w:rsid w:val="5B9D03BC"/>
    <w:rsid w:val="5BB13465"/>
    <w:rsid w:val="5BD478E5"/>
    <w:rsid w:val="5BD6EE24"/>
    <w:rsid w:val="5BDE3B39"/>
    <w:rsid w:val="5BE4838A"/>
    <w:rsid w:val="5BFF0C3D"/>
    <w:rsid w:val="5C03F0CB"/>
    <w:rsid w:val="5C054008"/>
    <w:rsid w:val="5C07A0F9"/>
    <w:rsid w:val="5C30878B"/>
    <w:rsid w:val="5C3C8D27"/>
    <w:rsid w:val="5C60216C"/>
    <w:rsid w:val="5C65AFFC"/>
    <w:rsid w:val="5C6F7212"/>
    <w:rsid w:val="5C74F07D"/>
    <w:rsid w:val="5C7676D1"/>
    <w:rsid w:val="5CA972B9"/>
    <w:rsid w:val="5CAA6817"/>
    <w:rsid w:val="5CCA817F"/>
    <w:rsid w:val="5CCADB27"/>
    <w:rsid w:val="5CE0D8F7"/>
    <w:rsid w:val="5CE5B334"/>
    <w:rsid w:val="5CF1EB6E"/>
    <w:rsid w:val="5D0236A7"/>
    <w:rsid w:val="5D0B9CC9"/>
    <w:rsid w:val="5D1B6195"/>
    <w:rsid w:val="5D21FABB"/>
    <w:rsid w:val="5D233F65"/>
    <w:rsid w:val="5D272F84"/>
    <w:rsid w:val="5D2B17CE"/>
    <w:rsid w:val="5D5E5D2C"/>
    <w:rsid w:val="5D661E32"/>
    <w:rsid w:val="5D68F9F2"/>
    <w:rsid w:val="5D9E9A85"/>
    <w:rsid w:val="5D9F7DCE"/>
    <w:rsid w:val="5DA7764C"/>
    <w:rsid w:val="5DAA2B5A"/>
    <w:rsid w:val="5DAF9E4F"/>
    <w:rsid w:val="5DCB92B0"/>
    <w:rsid w:val="5DDAFA4D"/>
    <w:rsid w:val="5DDF876A"/>
    <w:rsid w:val="5DEAC927"/>
    <w:rsid w:val="5DF33540"/>
    <w:rsid w:val="5DF52FC3"/>
    <w:rsid w:val="5E203C1D"/>
    <w:rsid w:val="5E4AD17B"/>
    <w:rsid w:val="5E521B39"/>
    <w:rsid w:val="5E6B7BE4"/>
    <w:rsid w:val="5E6E0307"/>
    <w:rsid w:val="5E82FB99"/>
    <w:rsid w:val="5EA723C5"/>
    <w:rsid w:val="5EA9AFB3"/>
    <w:rsid w:val="5EC9DFED"/>
    <w:rsid w:val="5ED42D50"/>
    <w:rsid w:val="5EDD043E"/>
    <w:rsid w:val="5F0520B5"/>
    <w:rsid w:val="5F176E95"/>
    <w:rsid w:val="5F239619"/>
    <w:rsid w:val="5F54833F"/>
    <w:rsid w:val="5FAE9D2E"/>
    <w:rsid w:val="5FC8B225"/>
    <w:rsid w:val="5FF1A21D"/>
    <w:rsid w:val="60060D36"/>
    <w:rsid w:val="6007BAB7"/>
    <w:rsid w:val="601C9024"/>
    <w:rsid w:val="601EA46E"/>
    <w:rsid w:val="60567155"/>
    <w:rsid w:val="6057BEBD"/>
    <w:rsid w:val="6072F637"/>
    <w:rsid w:val="60817B6C"/>
    <w:rsid w:val="60A0A5FF"/>
    <w:rsid w:val="60A54BBE"/>
    <w:rsid w:val="60AD1291"/>
    <w:rsid w:val="60AEF568"/>
    <w:rsid w:val="60B9CE5C"/>
    <w:rsid w:val="60D18A60"/>
    <w:rsid w:val="60DD74B9"/>
    <w:rsid w:val="611DA718"/>
    <w:rsid w:val="61291E65"/>
    <w:rsid w:val="614D112B"/>
    <w:rsid w:val="614FB0A4"/>
    <w:rsid w:val="6154DF0E"/>
    <w:rsid w:val="617FFB77"/>
    <w:rsid w:val="61872EE3"/>
    <w:rsid w:val="6187BFFD"/>
    <w:rsid w:val="6196F76F"/>
    <w:rsid w:val="61A2E93E"/>
    <w:rsid w:val="61B71D34"/>
    <w:rsid w:val="61C6BFE7"/>
    <w:rsid w:val="61C9F3D6"/>
    <w:rsid w:val="61E40283"/>
    <w:rsid w:val="61F241B6"/>
    <w:rsid w:val="620B04E1"/>
    <w:rsid w:val="620BF21F"/>
    <w:rsid w:val="6219CB3F"/>
    <w:rsid w:val="621FA842"/>
    <w:rsid w:val="6225CAFD"/>
    <w:rsid w:val="622DCD58"/>
    <w:rsid w:val="6244EF95"/>
    <w:rsid w:val="624E9582"/>
    <w:rsid w:val="625E7A6E"/>
    <w:rsid w:val="62689A5E"/>
    <w:rsid w:val="629346B8"/>
    <w:rsid w:val="62AE6624"/>
    <w:rsid w:val="630C10B0"/>
    <w:rsid w:val="6319A99B"/>
    <w:rsid w:val="631E8A81"/>
    <w:rsid w:val="634ED497"/>
    <w:rsid w:val="63882048"/>
    <w:rsid w:val="63B6E2D7"/>
    <w:rsid w:val="63C6EDF2"/>
    <w:rsid w:val="63CD9EB0"/>
    <w:rsid w:val="63DBD85E"/>
    <w:rsid w:val="63EEFFF7"/>
    <w:rsid w:val="63F7D0B0"/>
    <w:rsid w:val="641DC49E"/>
    <w:rsid w:val="642407C0"/>
    <w:rsid w:val="64423B36"/>
    <w:rsid w:val="644F6AEA"/>
    <w:rsid w:val="64742FE7"/>
    <w:rsid w:val="64C77FC7"/>
    <w:rsid w:val="64C95763"/>
    <w:rsid w:val="64D7EF56"/>
    <w:rsid w:val="651B7B3B"/>
    <w:rsid w:val="651F7ED4"/>
    <w:rsid w:val="6523C2A1"/>
    <w:rsid w:val="65323A5F"/>
    <w:rsid w:val="653F47E3"/>
    <w:rsid w:val="653FBF4B"/>
    <w:rsid w:val="6548454F"/>
    <w:rsid w:val="65621518"/>
    <w:rsid w:val="657874E0"/>
    <w:rsid w:val="658C3F87"/>
    <w:rsid w:val="65A4DA87"/>
    <w:rsid w:val="65D6FDC1"/>
    <w:rsid w:val="65E16ECB"/>
    <w:rsid w:val="65E20439"/>
    <w:rsid w:val="65E210BE"/>
    <w:rsid w:val="65EC606A"/>
    <w:rsid w:val="65EEE8EC"/>
    <w:rsid w:val="65F0A3F5"/>
    <w:rsid w:val="65F5C7C5"/>
    <w:rsid w:val="660081DE"/>
    <w:rsid w:val="661D1034"/>
    <w:rsid w:val="66345E0D"/>
    <w:rsid w:val="6646EBB8"/>
    <w:rsid w:val="6647D0B9"/>
    <w:rsid w:val="664F688C"/>
    <w:rsid w:val="6655EE07"/>
    <w:rsid w:val="665E6A80"/>
    <w:rsid w:val="66675DB9"/>
    <w:rsid w:val="66A0CD9C"/>
    <w:rsid w:val="66D4B1C3"/>
    <w:rsid w:val="66D996E5"/>
    <w:rsid w:val="66E6C90A"/>
    <w:rsid w:val="67053F72"/>
    <w:rsid w:val="670FCDE2"/>
    <w:rsid w:val="6723886E"/>
    <w:rsid w:val="672BC439"/>
    <w:rsid w:val="67308C3B"/>
    <w:rsid w:val="67422F8E"/>
    <w:rsid w:val="675A38A0"/>
    <w:rsid w:val="678DFC45"/>
    <w:rsid w:val="67A07F45"/>
    <w:rsid w:val="67A1CAF2"/>
    <w:rsid w:val="67A7AAEE"/>
    <w:rsid w:val="67D220CA"/>
    <w:rsid w:val="67D68EA6"/>
    <w:rsid w:val="67EE021D"/>
    <w:rsid w:val="6800C945"/>
    <w:rsid w:val="6805B97B"/>
    <w:rsid w:val="681DB398"/>
    <w:rsid w:val="681E0185"/>
    <w:rsid w:val="6824F8D4"/>
    <w:rsid w:val="6834574A"/>
    <w:rsid w:val="683581D7"/>
    <w:rsid w:val="684262B6"/>
    <w:rsid w:val="6844E8ED"/>
    <w:rsid w:val="6871CF9B"/>
    <w:rsid w:val="687356D8"/>
    <w:rsid w:val="6877FA95"/>
    <w:rsid w:val="6882AD0E"/>
    <w:rsid w:val="68EE6333"/>
    <w:rsid w:val="68FD68A4"/>
    <w:rsid w:val="697A7CCD"/>
    <w:rsid w:val="69952330"/>
    <w:rsid w:val="69A633A2"/>
    <w:rsid w:val="69A74A65"/>
    <w:rsid w:val="69CC3CF0"/>
    <w:rsid w:val="6A4765ED"/>
    <w:rsid w:val="6A4FBFE7"/>
    <w:rsid w:val="6A7D00E6"/>
    <w:rsid w:val="6A8D0930"/>
    <w:rsid w:val="6AA3FF48"/>
    <w:rsid w:val="6ABC34A5"/>
    <w:rsid w:val="6AD3E935"/>
    <w:rsid w:val="6ADAAD35"/>
    <w:rsid w:val="6AE029C0"/>
    <w:rsid w:val="6AE3CDF8"/>
    <w:rsid w:val="6AE84AC3"/>
    <w:rsid w:val="6AFE1268"/>
    <w:rsid w:val="6AFFDA29"/>
    <w:rsid w:val="6B14E62E"/>
    <w:rsid w:val="6B2C1132"/>
    <w:rsid w:val="6B2C240C"/>
    <w:rsid w:val="6B48D0C8"/>
    <w:rsid w:val="6B4D634B"/>
    <w:rsid w:val="6B7B03BA"/>
    <w:rsid w:val="6B80721E"/>
    <w:rsid w:val="6B8370F5"/>
    <w:rsid w:val="6B9F103C"/>
    <w:rsid w:val="6BABDAED"/>
    <w:rsid w:val="6BBE0013"/>
    <w:rsid w:val="6BCB3225"/>
    <w:rsid w:val="6BEB9048"/>
    <w:rsid w:val="6BF2AB85"/>
    <w:rsid w:val="6C211B88"/>
    <w:rsid w:val="6C2A115A"/>
    <w:rsid w:val="6C512F68"/>
    <w:rsid w:val="6C58E69A"/>
    <w:rsid w:val="6C5B0348"/>
    <w:rsid w:val="6C77C7C4"/>
    <w:rsid w:val="6C7C112F"/>
    <w:rsid w:val="6C7ED57F"/>
    <w:rsid w:val="6C8A4751"/>
    <w:rsid w:val="6C9501FF"/>
    <w:rsid w:val="6CA3B7D1"/>
    <w:rsid w:val="6CBEF46B"/>
    <w:rsid w:val="6CC92D4C"/>
    <w:rsid w:val="6CCF386D"/>
    <w:rsid w:val="6CE20466"/>
    <w:rsid w:val="6CF24D46"/>
    <w:rsid w:val="6D026061"/>
    <w:rsid w:val="6D147928"/>
    <w:rsid w:val="6D43AA5C"/>
    <w:rsid w:val="6D691C07"/>
    <w:rsid w:val="6D76B1B7"/>
    <w:rsid w:val="6D8D0836"/>
    <w:rsid w:val="6D9F9D9E"/>
    <w:rsid w:val="6DAD2786"/>
    <w:rsid w:val="6DB7D917"/>
    <w:rsid w:val="6DB9A3B5"/>
    <w:rsid w:val="6DC6EA1D"/>
    <w:rsid w:val="6DCFF51F"/>
    <w:rsid w:val="6DE677DB"/>
    <w:rsid w:val="6DF6D4CE"/>
    <w:rsid w:val="6DFF6EE3"/>
    <w:rsid w:val="6E21FC3B"/>
    <w:rsid w:val="6E2DBFDC"/>
    <w:rsid w:val="6E601050"/>
    <w:rsid w:val="6E651150"/>
    <w:rsid w:val="6E6E0388"/>
    <w:rsid w:val="6E7089FD"/>
    <w:rsid w:val="6EA1D5B9"/>
    <w:rsid w:val="6EB0D8FA"/>
    <w:rsid w:val="6EB1629E"/>
    <w:rsid w:val="6EB433AD"/>
    <w:rsid w:val="6ECC5BFB"/>
    <w:rsid w:val="6ED48272"/>
    <w:rsid w:val="6EF23EBD"/>
    <w:rsid w:val="6EFCB2E5"/>
    <w:rsid w:val="6F04EC68"/>
    <w:rsid w:val="6F1A7B9A"/>
    <w:rsid w:val="6F1FE8BD"/>
    <w:rsid w:val="6F3594D9"/>
    <w:rsid w:val="6F3D3111"/>
    <w:rsid w:val="6F3EEE70"/>
    <w:rsid w:val="6F8FFEEC"/>
    <w:rsid w:val="6F948C37"/>
    <w:rsid w:val="6FAD2A8C"/>
    <w:rsid w:val="6FDBA46E"/>
    <w:rsid w:val="6FE70F3E"/>
    <w:rsid w:val="700486BD"/>
    <w:rsid w:val="70078FDB"/>
    <w:rsid w:val="705C7CDD"/>
    <w:rsid w:val="706351B1"/>
    <w:rsid w:val="706609CA"/>
    <w:rsid w:val="7074363F"/>
    <w:rsid w:val="70860E83"/>
    <w:rsid w:val="708ACCF8"/>
    <w:rsid w:val="708F1F2D"/>
    <w:rsid w:val="7092800C"/>
    <w:rsid w:val="709AE437"/>
    <w:rsid w:val="70AE6C51"/>
    <w:rsid w:val="70B83D72"/>
    <w:rsid w:val="70C3053D"/>
    <w:rsid w:val="70CC8EDA"/>
    <w:rsid w:val="70DA10CD"/>
    <w:rsid w:val="70EDB10C"/>
    <w:rsid w:val="70F4EFFB"/>
    <w:rsid w:val="71245C4B"/>
    <w:rsid w:val="71304979"/>
    <w:rsid w:val="71625F4B"/>
    <w:rsid w:val="7163589D"/>
    <w:rsid w:val="716B49BD"/>
    <w:rsid w:val="717F67FB"/>
    <w:rsid w:val="71955EB9"/>
    <w:rsid w:val="719E9B73"/>
    <w:rsid w:val="71A3D3AB"/>
    <w:rsid w:val="71A42ADC"/>
    <w:rsid w:val="71B46A5A"/>
    <w:rsid w:val="71C3AC60"/>
    <w:rsid w:val="72110321"/>
    <w:rsid w:val="7229D4E7"/>
    <w:rsid w:val="72310610"/>
    <w:rsid w:val="725A87B0"/>
    <w:rsid w:val="725E6622"/>
    <w:rsid w:val="726139C1"/>
    <w:rsid w:val="72963FD1"/>
    <w:rsid w:val="7297C021"/>
    <w:rsid w:val="72ACB012"/>
    <w:rsid w:val="72B8CD71"/>
    <w:rsid w:val="72E2C64E"/>
    <w:rsid w:val="72E5A972"/>
    <w:rsid w:val="73044383"/>
    <w:rsid w:val="730DE549"/>
    <w:rsid w:val="730E2934"/>
    <w:rsid w:val="7367F202"/>
    <w:rsid w:val="73687958"/>
    <w:rsid w:val="738D7209"/>
    <w:rsid w:val="7395CBB2"/>
    <w:rsid w:val="73B9BFE2"/>
    <w:rsid w:val="73BD0645"/>
    <w:rsid w:val="7403DDA1"/>
    <w:rsid w:val="740FE9A0"/>
    <w:rsid w:val="74477592"/>
    <w:rsid w:val="745551B6"/>
    <w:rsid w:val="745B77A3"/>
    <w:rsid w:val="7489B9A1"/>
    <w:rsid w:val="74933D3C"/>
    <w:rsid w:val="74A53350"/>
    <w:rsid w:val="74AD6280"/>
    <w:rsid w:val="74B96B4C"/>
    <w:rsid w:val="74BA5C15"/>
    <w:rsid w:val="74BBD1D3"/>
    <w:rsid w:val="74C46268"/>
    <w:rsid w:val="74CD5996"/>
    <w:rsid w:val="74DCB01F"/>
    <w:rsid w:val="74DD5457"/>
    <w:rsid w:val="74E54AC3"/>
    <w:rsid w:val="74EBF5BA"/>
    <w:rsid w:val="7503AC8C"/>
    <w:rsid w:val="7517FC5C"/>
    <w:rsid w:val="7524BA07"/>
    <w:rsid w:val="754088A5"/>
    <w:rsid w:val="75488ACA"/>
    <w:rsid w:val="754DF5BE"/>
    <w:rsid w:val="757BEC94"/>
    <w:rsid w:val="7583A58A"/>
    <w:rsid w:val="75906AAB"/>
    <w:rsid w:val="75B98148"/>
    <w:rsid w:val="75BA7955"/>
    <w:rsid w:val="75C19CDB"/>
    <w:rsid w:val="75C83E02"/>
    <w:rsid w:val="75ED6FD1"/>
    <w:rsid w:val="75F6FAC0"/>
    <w:rsid w:val="75FED067"/>
    <w:rsid w:val="75FFBF84"/>
    <w:rsid w:val="760DA87F"/>
    <w:rsid w:val="760FB011"/>
    <w:rsid w:val="7616394E"/>
    <w:rsid w:val="76180254"/>
    <w:rsid w:val="761E52F8"/>
    <w:rsid w:val="76212490"/>
    <w:rsid w:val="7622C7A5"/>
    <w:rsid w:val="76255034"/>
    <w:rsid w:val="762F5CEC"/>
    <w:rsid w:val="7674340C"/>
    <w:rsid w:val="767E1F9A"/>
    <w:rsid w:val="769B6F8E"/>
    <w:rsid w:val="769CA88D"/>
    <w:rsid w:val="76A2C35A"/>
    <w:rsid w:val="76A7C2FC"/>
    <w:rsid w:val="76B688B7"/>
    <w:rsid w:val="76C45702"/>
    <w:rsid w:val="76E346CA"/>
    <w:rsid w:val="76EBAB16"/>
    <w:rsid w:val="76EE780D"/>
    <w:rsid w:val="76F14B78"/>
    <w:rsid w:val="770DA5CE"/>
    <w:rsid w:val="7728B957"/>
    <w:rsid w:val="773684A7"/>
    <w:rsid w:val="773EE975"/>
    <w:rsid w:val="776EAC30"/>
    <w:rsid w:val="77965A77"/>
    <w:rsid w:val="779D6251"/>
    <w:rsid w:val="77B67139"/>
    <w:rsid w:val="77C14650"/>
    <w:rsid w:val="77CED40F"/>
    <w:rsid w:val="77CF78A4"/>
    <w:rsid w:val="77D9E809"/>
    <w:rsid w:val="77DD3E57"/>
    <w:rsid w:val="77EC8282"/>
    <w:rsid w:val="77F6B93D"/>
    <w:rsid w:val="7819E452"/>
    <w:rsid w:val="781DF487"/>
    <w:rsid w:val="7832F208"/>
    <w:rsid w:val="78374718"/>
    <w:rsid w:val="7841ED96"/>
    <w:rsid w:val="78439E03"/>
    <w:rsid w:val="78457F0B"/>
    <w:rsid w:val="78520354"/>
    <w:rsid w:val="785AB84D"/>
    <w:rsid w:val="78732FA1"/>
    <w:rsid w:val="789857B5"/>
    <w:rsid w:val="7899166B"/>
    <w:rsid w:val="789D1CA2"/>
    <w:rsid w:val="78B6A87A"/>
    <w:rsid w:val="78B70A01"/>
    <w:rsid w:val="78C84127"/>
    <w:rsid w:val="78D74EC4"/>
    <w:rsid w:val="790B9AF4"/>
    <w:rsid w:val="79280C20"/>
    <w:rsid w:val="7938374A"/>
    <w:rsid w:val="79403A79"/>
    <w:rsid w:val="794282E0"/>
    <w:rsid w:val="7947DB2F"/>
    <w:rsid w:val="7957F7BA"/>
    <w:rsid w:val="795A5CAA"/>
    <w:rsid w:val="796608C5"/>
    <w:rsid w:val="796AC941"/>
    <w:rsid w:val="7972BB5D"/>
    <w:rsid w:val="7974BF98"/>
    <w:rsid w:val="79A112F3"/>
    <w:rsid w:val="79B4924C"/>
    <w:rsid w:val="79B88327"/>
    <w:rsid w:val="79BA0C0A"/>
    <w:rsid w:val="79D42A35"/>
    <w:rsid w:val="79EFD412"/>
    <w:rsid w:val="79F3170B"/>
    <w:rsid w:val="7A258DF3"/>
    <w:rsid w:val="7A34F164"/>
    <w:rsid w:val="7A43FA28"/>
    <w:rsid w:val="7A52B2BF"/>
    <w:rsid w:val="7A5FA08C"/>
    <w:rsid w:val="7A676DEB"/>
    <w:rsid w:val="7A78E5B2"/>
    <w:rsid w:val="7A7E8A65"/>
    <w:rsid w:val="7A81B477"/>
    <w:rsid w:val="7AB41846"/>
    <w:rsid w:val="7ACF2D5B"/>
    <w:rsid w:val="7ADBAFA5"/>
    <w:rsid w:val="7ADFAABE"/>
    <w:rsid w:val="7AE4EC58"/>
    <w:rsid w:val="7AE9228D"/>
    <w:rsid w:val="7AF1B34E"/>
    <w:rsid w:val="7AF62D0B"/>
    <w:rsid w:val="7B088794"/>
    <w:rsid w:val="7B16E2BB"/>
    <w:rsid w:val="7B2FDC48"/>
    <w:rsid w:val="7B382CD2"/>
    <w:rsid w:val="7B498632"/>
    <w:rsid w:val="7B54AF93"/>
    <w:rsid w:val="7B79EE64"/>
    <w:rsid w:val="7B931BF8"/>
    <w:rsid w:val="7C0169F6"/>
    <w:rsid w:val="7C0FC778"/>
    <w:rsid w:val="7C15A8D6"/>
    <w:rsid w:val="7C307A84"/>
    <w:rsid w:val="7C393BFD"/>
    <w:rsid w:val="7C6566CB"/>
    <w:rsid w:val="7C7B7B1F"/>
    <w:rsid w:val="7C93C0E0"/>
    <w:rsid w:val="7CA680D3"/>
    <w:rsid w:val="7CAA203F"/>
    <w:rsid w:val="7CB0B6E8"/>
    <w:rsid w:val="7CB6BF1B"/>
    <w:rsid w:val="7CD8EF96"/>
    <w:rsid w:val="7CE43D91"/>
    <w:rsid w:val="7CEDD110"/>
    <w:rsid w:val="7CF4366C"/>
    <w:rsid w:val="7CF578C1"/>
    <w:rsid w:val="7D05E426"/>
    <w:rsid w:val="7D13CA54"/>
    <w:rsid w:val="7D274F5C"/>
    <w:rsid w:val="7D341AD9"/>
    <w:rsid w:val="7D44AF2C"/>
    <w:rsid w:val="7D78688E"/>
    <w:rsid w:val="7D8BD238"/>
    <w:rsid w:val="7D94416D"/>
    <w:rsid w:val="7D9EF479"/>
    <w:rsid w:val="7DAF47C8"/>
    <w:rsid w:val="7DE6278A"/>
    <w:rsid w:val="7DF07E40"/>
    <w:rsid w:val="7DF139F5"/>
    <w:rsid w:val="7E01F9B6"/>
    <w:rsid w:val="7E056D5E"/>
    <w:rsid w:val="7E060887"/>
    <w:rsid w:val="7E1663B4"/>
    <w:rsid w:val="7E17738A"/>
    <w:rsid w:val="7E38C628"/>
    <w:rsid w:val="7E5A6B3A"/>
    <w:rsid w:val="7E839FBE"/>
    <w:rsid w:val="7E8F0BEF"/>
    <w:rsid w:val="7EA544C4"/>
    <w:rsid w:val="7F1FE25B"/>
    <w:rsid w:val="7F252786"/>
    <w:rsid w:val="7F2FA7AD"/>
    <w:rsid w:val="7F3259A4"/>
    <w:rsid w:val="7F448972"/>
    <w:rsid w:val="7F45BE57"/>
    <w:rsid w:val="7F4D0CA0"/>
    <w:rsid w:val="7F57EADE"/>
    <w:rsid w:val="7F5E84F0"/>
    <w:rsid w:val="7F78B783"/>
    <w:rsid w:val="7F89D865"/>
    <w:rsid w:val="7F8EF54C"/>
    <w:rsid w:val="7FD942A3"/>
    <w:rsid w:val="7FF9E458"/>
    <w:rsid w:val="7FFB899F"/>
  </w:rsids>
  <m:mathPr>
    <m:mathFont m:val="Cambria Math"/>
    <m:brkBin m:val="before"/>
    <m:brkBinSub m:val="--"/>
    <m:smallFrac/>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A461B2"/>
  <w15:docId w15:val="{61DEBE9C-A68C-4A25-9F19-1FC8FFC49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D4C15"/>
    <w:pPr>
      <w:spacing w:after="0" w:line="240" w:lineRule="auto"/>
    </w:pPr>
    <w:rPr>
      <w:rFonts w:ascii="Times New Roman" w:eastAsia="Times New Roman" w:hAnsi="Times New Roman" w:cs="Times New Roman"/>
      <w:sz w:val="24"/>
      <w:szCs w:val="24"/>
      <w:lang w:eastAsia="lt-LT"/>
    </w:rPr>
  </w:style>
  <w:style w:type="paragraph" w:styleId="Heading1">
    <w:name w:val="heading 1"/>
    <w:basedOn w:val="Normal"/>
    <w:next w:val="Normal"/>
    <w:link w:val="Heading1Char2"/>
    <w:qFormat/>
    <w:rsid w:val="003D4C15"/>
    <w:pPr>
      <w:jc w:val="both"/>
      <w:outlineLvl w:val="0"/>
    </w:pPr>
    <w:rPr>
      <w:b/>
      <w:sz w:val="22"/>
      <w:szCs w:val="22"/>
      <w:u w:val="single"/>
    </w:rPr>
  </w:style>
  <w:style w:type="paragraph" w:styleId="Heading2">
    <w:name w:val="heading 2"/>
    <w:basedOn w:val="Normal"/>
    <w:next w:val="Normal"/>
    <w:link w:val="Heading2Char"/>
    <w:autoRedefine/>
    <w:uiPriority w:val="9"/>
    <w:unhideWhenUsed/>
    <w:qFormat/>
    <w:rsid w:val="00E64054"/>
    <w:pPr>
      <w:shd w:val="clear" w:color="auto" w:fill="FFFFFF"/>
      <w:jc w:val="both"/>
      <w:outlineLvl w:val="1"/>
    </w:pPr>
    <w:rPr>
      <w:rFonts w:asciiTheme="minorHAnsi" w:eastAsia="Calibri" w:hAnsiTheme="minorHAnsi" w:cstheme="minorHAnsi"/>
      <w:i/>
      <w:iCs/>
      <w:sz w:val="22"/>
      <w:szCs w:val="22"/>
      <w:shd w:val="clear" w:color="auto" w:fill="FFFFFF"/>
      <w:lang w:eastAsia="en-US"/>
    </w:rPr>
  </w:style>
  <w:style w:type="paragraph" w:styleId="Heading3">
    <w:name w:val="heading 3"/>
    <w:basedOn w:val="Normal"/>
    <w:next w:val="Normal"/>
    <w:link w:val="Heading3Char"/>
    <w:uiPriority w:val="9"/>
    <w:unhideWhenUsed/>
    <w:rsid w:val="003D4C15"/>
    <w:pPr>
      <w:jc w:val="both"/>
      <w:outlineLvl w:val="2"/>
    </w:pPr>
    <w:rPr>
      <w:i/>
      <w:sz w:val="22"/>
      <w:szCs w:val="22"/>
    </w:rPr>
  </w:style>
  <w:style w:type="paragraph" w:styleId="Heading4">
    <w:name w:val="heading 4"/>
    <w:basedOn w:val="Normal"/>
    <w:next w:val="Normal"/>
    <w:link w:val="Heading4Char"/>
    <w:uiPriority w:val="9"/>
    <w:unhideWhenUsed/>
    <w:rsid w:val="003D4C15"/>
    <w:pPr>
      <w:keepNext/>
      <w:ind w:firstLine="720"/>
      <w:jc w:val="both"/>
      <w:outlineLvl w:val="3"/>
    </w:pPr>
    <w:rPr>
      <w:b/>
      <w:bCs/>
      <w:sz w:val="22"/>
      <w:szCs w:val="28"/>
      <w:u w:val="single"/>
    </w:rPr>
  </w:style>
  <w:style w:type="paragraph" w:styleId="Heading5">
    <w:name w:val="heading 5"/>
    <w:basedOn w:val="Normal"/>
    <w:next w:val="Normal"/>
    <w:link w:val="Heading5Char"/>
    <w:uiPriority w:val="9"/>
    <w:unhideWhenUsed/>
    <w:rsid w:val="003D4C15"/>
    <w:pPr>
      <w:jc w:val="both"/>
      <w:outlineLvl w:val="4"/>
    </w:pPr>
    <w:rPr>
      <w:bCs/>
      <w:i/>
      <w:iCs/>
      <w:sz w:val="2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2">
    <w:name w:val="Heading 1 Char2"/>
    <w:basedOn w:val="DefaultParagraphFont"/>
    <w:link w:val="Heading1"/>
    <w:qFormat/>
    <w:rsid w:val="003D4C15"/>
    <w:rPr>
      <w:rFonts w:ascii="Times New Roman" w:eastAsia="Times New Roman" w:hAnsi="Times New Roman" w:cs="Times New Roman"/>
      <w:b/>
      <w:u w:val="single"/>
      <w:lang w:eastAsia="lt-LT"/>
    </w:rPr>
  </w:style>
  <w:style w:type="character" w:customStyle="1" w:styleId="Heading2Char">
    <w:name w:val="Heading 2 Char"/>
    <w:basedOn w:val="DefaultParagraphFont"/>
    <w:link w:val="Heading2"/>
    <w:uiPriority w:val="9"/>
    <w:rsid w:val="00E64054"/>
    <w:rPr>
      <w:rFonts w:eastAsia="Calibri" w:cstheme="minorHAnsi"/>
      <w:i/>
      <w:iCs/>
      <w:shd w:val="clear" w:color="auto" w:fill="FFFFFF"/>
    </w:rPr>
  </w:style>
  <w:style w:type="character" w:customStyle="1" w:styleId="Heading3Char">
    <w:name w:val="Heading 3 Char"/>
    <w:basedOn w:val="DefaultParagraphFont"/>
    <w:link w:val="Heading3"/>
    <w:uiPriority w:val="9"/>
    <w:rsid w:val="003D4C15"/>
    <w:rPr>
      <w:rFonts w:ascii="Times New Roman" w:eastAsia="Times New Roman" w:hAnsi="Times New Roman" w:cs="Times New Roman"/>
      <w:i/>
      <w:lang w:eastAsia="lt-LT"/>
    </w:rPr>
  </w:style>
  <w:style w:type="character" w:customStyle="1" w:styleId="Heading4Char">
    <w:name w:val="Heading 4 Char"/>
    <w:basedOn w:val="DefaultParagraphFont"/>
    <w:link w:val="Heading4"/>
    <w:uiPriority w:val="9"/>
    <w:rsid w:val="003D4C15"/>
    <w:rPr>
      <w:rFonts w:ascii="Times New Roman" w:eastAsia="Times New Roman" w:hAnsi="Times New Roman" w:cs="Times New Roman"/>
      <w:b/>
      <w:bCs/>
      <w:szCs w:val="28"/>
      <w:u w:val="single"/>
      <w:lang w:eastAsia="lt-LT"/>
    </w:rPr>
  </w:style>
  <w:style w:type="character" w:customStyle="1" w:styleId="Heading5Char">
    <w:name w:val="Heading 5 Char"/>
    <w:basedOn w:val="DefaultParagraphFont"/>
    <w:link w:val="Heading5"/>
    <w:uiPriority w:val="9"/>
    <w:rsid w:val="003D4C15"/>
    <w:rPr>
      <w:rFonts w:ascii="Times New Roman" w:eastAsia="Times New Roman" w:hAnsi="Times New Roman" w:cs="Times New Roman"/>
      <w:bCs/>
      <w:i/>
      <w:iCs/>
      <w:szCs w:val="26"/>
      <w:lang w:eastAsia="lt-LT"/>
    </w:rPr>
  </w:style>
  <w:style w:type="paragraph" w:styleId="Header">
    <w:name w:val="header"/>
    <w:basedOn w:val="Normal"/>
    <w:link w:val="HeaderChar"/>
    <w:uiPriority w:val="99"/>
    <w:rsid w:val="003D4C15"/>
    <w:pPr>
      <w:tabs>
        <w:tab w:val="center" w:pos="4153"/>
        <w:tab w:val="right" w:pos="8306"/>
      </w:tabs>
    </w:pPr>
    <w:rPr>
      <w:lang w:val="en-GB" w:eastAsia="en-US"/>
    </w:rPr>
  </w:style>
  <w:style w:type="character" w:customStyle="1" w:styleId="HeaderChar">
    <w:name w:val="Header Char"/>
    <w:basedOn w:val="DefaultParagraphFont"/>
    <w:link w:val="Header"/>
    <w:uiPriority w:val="99"/>
    <w:rsid w:val="003D4C15"/>
    <w:rPr>
      <w:rFonts w:ascii="Times New Roman" w:eastAsia="Times New Roman" w:hAnsi="Times New Roman" w:cs="Times New Roman"/>
      <w:sz w:val="24"/>
      <w:szCs w:val="24"/>
      <w:lang w:val="en-GB"/>
    </w:rPr>
  </w:style>
  <w:style w:type="paragraph" w:styleId="Footer">
    <w:name w:val="footer"/>
    <w:basedOn w:val="Normal"/>
    <w:link w:val="FooterChar"/>
    <w:rsid w:val="003D4C15"/>
    <w:pPr>
      <w:tabs>
        <w:tab w:val="center" w:pos="4153"/>
        <w:tab w:val="right" w:pos="8306"/>
      </w:tabs>
    </w:pPr>
  </w:style>
  <w:style w:type="character" w:customStyle="1" w:styleId="FooterChar">
    <w:name w:val="Footer Char"/>
    <w:basedOn w:val="DefaultParagraphFont"/>
    <w:link w:val="Footer"/>
    <w:rsid w:val="003D4C15"/>
    <w:rPr>
      <w:rFonts w:ascii="Times New Roman" w:eastAsia="Times New Roman" w:hAnsi="Times New Roman" w:cs="Times New Roman"/>
      <w:sz w:val="24"/>
      <w:szCs w:val="24"/>
      <w:lang w:eastAsia="lt-LT"/>
    </w:rPr>
  </w:style>
  <w:style w:type="character" w:styleId="PageNumber">
    <w:name w:val="page number"/>
    <w:basedOn w:val="DefaultParagraphFont"/>
    <w:rsid w:val="003D4C15"/>
  </w:style>
  <w:style w:type="paragraph" w:styleId="NormalWeb">
    <w:name w:val="Normal (Web)"/>
    <w:basedOn w:val="Normal"/>
    <w:link w:val="NormalWebChar"/>
    <w:uiPriority w:val="99"/>
    <w:qFormat/>
    <w:rsid w:val="003D4C15"/>
    <w:pPr>
      <w:spacing w:before="100" w:beforeAutospacing="1" w:after="100" w:afterAutospacing="1"/>
    </w:pPr>
    <w:rPr>
      <w:lang w:val="en-US" w:eastAsia="en-US"/>
    </w:rPr>
  </w:style>
  <w:style w:type="paragraph" w:customStyle="1" w:styleId="Style12">
    <w:name w:val="Style12"/>
    <w:basedOn w:val="Normal"/>
    <w:rsid w:val="003D4C15"/>
    <w:pPr>
      <w:widowControl w:val="0"/>
      <w:autoSpaceDE w:val="0"/>
      <w:autoSpaceDN w:val="0"/>
      <w:adjustRightInd w:val="0"/>
      <w:spacing w:line="276" w:lineRule="exact"/>
      <w:ind w:firstLine="1622"/>
      <w:jc w:val="both"/>
    </w:pPr>
  </w:style>
  <w:style w:type="character" w:styleId="Hyperlink">
    <w:name w:val="Hyperlink"/>
    <w:basedOn w:val="DefaultParagraphFont"/>
    <w:uiPriority w:val="99"/>
    <w:rsid w:val="003D4C15"/>
    <w:rPr>
      <w:color w:val="0000FF"/>
      <w:u w:val="single"/>
    </w:rPr>
  </w:style>
  <w:style w:type="paragraph" w:styleId="BodyTextIndent2">
    <w:name w:val="Body Text Indent 2"/>
    <w:basedOn w:val="Normal"/>
    <w:link w:val="BodyTextIndent2Char"/>
    <w:uiPriority w:val="99"/>
    <w:rsid w:val="003D4C15"/>
    <w:pPr>
      <w:ind w:firstLine="540"/>
      <w:jc w:val="both"/>
    </w:pPr>
    <w:rPr>
      <w:bCs/>
      <w:lang w:eastAsia="en-US"/>
    </w:rPr>
  </w:style>
  <w:style w:type="character" w:customStyle="1" w:styleId="BodyTextIndent2Char">
    <w:name w:val="Body Text Indent 2 Char"/>
    <w:basedOn w:val="DefaultParagraphFont"/>
    <w:link w:val="BodyTextIndent2"/>
    <w:uiPriority w:val="99"/>
    <w:rsid w:val="003D4C15"/>
    <w:rPr>
      <w:rFonts w:ascii="Times New Roman" w:eastAsia="Times New Roman" w:hAnsi="Times New Roman" w:cs="Times New Roman"/>
      <w:bCs/>
      <w:sz w:val="24"/>
      <w:szCs w:val="24"/>
    </w:rPr>
  </w:style>
  <w:style w:type="paragraph" w:styleId="BodyText">
    <w:name w:val="Body Text"/>
    <w:basedOn w:val="Normal"/>
    <w:link w:val="BodyTextChar"/>
    <w:unhideWhenUsed/>
    <w:rsid w:val="003D4C15"/>
    <w:pPr>
      <w:spacing w:after="120"/>
    </w:pPr>
  </w:style>
  <w:style w:type="character" w:customStyle="1" w:styleId="BodyTextChar">
    <w:name w:val="Body Text Char"/>
    <w:basedOn w:val="DefaultParagraphFont"/>
    <w:link w:val="BodyText"/>
    <w:uiPriority w:val="99"/>
    <w:rsid w:val="003D4C15"/>
    <w:rPr>
      <w:rFonts w:ascii="Times New Roman" w:eastAsia="Times New Roman" w:hAnsi="Times New Roman" w:cs="Times New Roman"/>
      <w:sz w:val="24"/>
      <w:szCs w:val="24"/>
      <w:lang w:eastAsia="lt-LT"/>
    </w:rPr>
  </w:style>
  <w:style w:type="paragraph" w:styleId="HTMLPreformatted">
    <w:name w:val="HTML Preformatted"/>
    <w:basedOn w:val="Normal"/>
    <w:link w:val="HTMLPreformattedChar"/>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PreformattedChar">
    <w:name w:val="HTML Preformatted Char"/>
    <w:basedOn w:val="DefaultParagraphFont"/>
    <w:link w:val="HTMLPreformatted"/>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DefaultParagraphFont"/>
    <w:rsid w:val="003D4C15"/>
    <w:rPr>
      <w:rFonts w:ascii="Times New Roman" w:hAnsi="Times New Roman" w:cs="Times New Roman"/>
      <w:sz w:val="20"/>
      <w:szCs w:val="20"/>
    </w:rPr>
  </w:style>
  <w:style w:type="character" w:customStyle="1" w:styleId="FontStyle31">
    <w:name w:val="Font Style31"/>
    <w:basedOn w:val="DefaultParagraphFont"/>
    <w:rsid w:val="003D4C15"/>
    <w:rPr>
      <w:rFonts w:ascii="Times New Roman" w:hAnsi="Times New Roman" w:cs="Times New Roman"/>
      <w:sz w:val="22"/>
      <w:szCs w:val="22"/>
    </w:rPr>
  </w:style>
  <w:style w:type="character" w:customStyle="1" w:styleId="FontStyle21">
    <w:name w:val="Font Style21"/>
    <w:basedOn w:val="DefaultParagraphFont"/>
    <w:uiPriority w:val="99"/>
    <w:rsid w:val="003D4C15"/>
    <w:rPr>
      <w:rFonts w:ascii="Times New Roman" w:hAnsi="Times New Roman" w:cs="Times New Roman"/>
      <w:sz w:val="20"/>
      <w:szCs w:val="20"/>
    </w:rPr>
  </w:style>
  <w:style w:type="paragraph" w:styleId="DocumentMap">
    <w:name w:val="Document Map"/>
    <w:basedOn w:val="Normal"/>
    <w:link w:val="DocumentMapChar"/>
    <w:uiPriority w:val="99"/>
    <w:semiHidden/>
    <w:unhideWhenUsed/>
    <w:rsid w:val="003D4C15"/>
    <w:rPr>
      <w:rFonts w:ascii="Tahoma" w:hAnsi="Tahoma" w:cs="Tahoma"/>
      <w:sz w:val="16"/>
      <w:szCs w:val="16"/>
    </w:rPr>
  </w:style>
  <w:style w:type="character" w:customStyle="1" w:styleId="DocumentMapChar">
    <w:name w:val="Document Map Char"/>
    <w:basedOn w:val="DefaultParagraphFont"/>
    <w:link w:val="DocumentMap"/>
    <w:uiPriority w:val="99"/>
    <w:semiHidden/>
    <w:rsid w:val="003D4C15"/>
    <w:rPr>
      <w:rFonts w:ascii="Tahoma" w:eastAsia="Times New Roman" w:hAnsi="Tahoma" w:cs="Tahoma"/>
      <w:sz w:val="16"/>
      <w:szCs w:val="16"/>
      <w:lang w:eastAsia="lt-LT"/>
    </w:rPr>
  </w:style>
  <w:style w:type="character" w:customStyle="1" w:styleId="FontStyle32">
    <w:name w:val="Font Style32"/>
    <w:basedOn w:val="DefaultParagraphFont"/>
    <w:rsid w:val="003D4C15"/>
    <w:rPr>
      <w:rFonts w:ascii="Times New Roman" w:hAnsi="Times New Roman" w:cs="Times New Roman"/>
      <w:sz w:val="20"/>
      <w:szCs w:val="20"/>
    </w:rPr>
  </w:style>
  <w:style w:type="paragraph" w:styleId="BodyTextIndent">
    <w:name w:val="Body Text Indent"/>
    <w:basedOn w:val="Normal"/>
    <w:link w:val="BodyTextIndentChar"/>
    <w:uiPriority w:val="99"/>
    <w:unhideWhenUsed/>
    <w:rsid w:val="003D4C15"/>
    <w:pPr>
      <w:spacing w:after="120"/>
      <w:ind w:left="283"/>
    </w:pPr>
  </w:style>
  <w:style w:type="character" w:customStyle="1" w:styleId="BodyTextIndentChar">
    <w:name w:val="Body Text Indent Char"/>
    <w:basedOn w:val="DefaultParagraphFont"/>
    <w:link w:val="BodyTextIndent"/>
    <w:uiPriority w:val="99"/>
    <w:rsid w:val="003D4C15"/>
    <w:rPr>
      <w:rFonts w:ascii="Times New Roman" w:eastAsia="Times New Roman" w:hAnsi="Times New Roman" w:cs="Times New Roman"/>
      <w:sz w:val="24"/>
      <w:szCs w:val="24"/>
      <w:lang w:eastAsia="lt-LT"/>
    </w:rPr>
  </w:style>
  <w:style w:type="paragraph" w:styleId="FootnoteText">
    <w:name w:val="footnote text"/>
    <w:basedOn w:val="Normal"/>
    <w:link w:val="FootnoteTextChar"/>
    <w:uiPriority w:val="99"/>
    <w:rsid w:val="003D4C15"/>
    <w:rPr>
      <w:sz w:val="20"/>
      <w:szCs w:val="20"/>
    </w:rPr>
  </w:style>
  <w:style w:type="character" w:customStyle="1" w:styleId="FootnoteTextChar">
    <w:name w:val="Footnote Text Char"/>
    <w:basedOn w:val="DefaultParagraphFont"/>
    <w:link w:val="FootnoteText"/>
    <w:uiPriority w:val="99"/>
    <w:rsid w:val="003D4C15"/>
    <w:rPr>
      <w:rFonts w:ascii="Times New Roman" w:eastAsia="Times New Roman" w:hAnsi="Times New Roman" w:cs="Times New Roman"/>
      <w:sz w:val="20"/>
      <w:szCs w:val="20"/>
      <w:lang w:eastAsia="lt-LT"/>
    </w:rPr>
  </w:style>
  <w:style w:type="character" w:styleId="FootnoteReference">
    <w:name w:val="footnote reference"/>
    <w:basedOn w:val="DefaultParagraphFont"/>
    <w:uiPriority w:val="99"/>
    <w:rsid w:val="003D4C15"/>
    <w:rPr>
      <w:vertAlign w:val="superscript"/>
    </w:rPr>
  </w:style>
  <w:style w:type="paragraph" w:styleId="TOC1">
    <w:name w:val="toc 1"/>
    <w:basedOn w:val="Normal"/>
    <w:next w:val="Normal"/>
    <w:autoRedefine/>
    <w:uiPriority w:val="39"/>
    <w:unhideWhenUsed/>
    <w:qFormat/>
    <w:rsid w:val="007D2E77"/>
    <w:pPr>
      <w:tabs>
        <w:tab w:val="right" w:leader="dot" w:pos="9921"/>
      </w:tabs>
      <w:spacing w:before="120" w:after="120"/>
      <w:jc w:val="both"/>
    </w:pPr>
    <w:rPr>
      <w:rFonts w:asciiTheme="minorHAnsi" w:hAnsiTheme="minorHAnsi"/>
      <w:b/>
      <w:bCs/>
      <w:caps/>
      <w:sz w:val="22"/>
      <w:szCs w:val="20"/>
    </w:rPr>
  </w:style>
  <w:style w:type="paragraph" w:styleId="TOC2">
    <w:name w:val="toc 2"/>
    <w:basedOn w:val="Normal"/>
    <w:next w:val="Normal"/>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OC3">
    <w:name w:val="toc 3"/>
    <w:basedOn w:val="Normal"/>
    <w:next w:val="Normal"/>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OC4">
    <w:name w:val="toc 4"/>
    <w:basedOn w:val="Normal"/>
    <w:next w:val="Normal"/>
    <w:autoRedefine/>
    <w:uiPriority w:val="39"/>
    <w:unhideWhenUsed/>
    <w:rsid w:val="003D4C15"/>
    <w:pPr>
      <w:ind w:left="720"/>
    </w:pPr>
    <w:rPr>
      <w:rFonts w:ascii="Calibri" w:hAnsi="Calibri"/>
      <w:sz w:val="18"/>
      <w:szCs w:val="18"/>
    </w:rPr>
  </w:style>
  <w:style w:type="paragraph" w:styleId="NoSpacing">
    <w:name w:val="No Spacing"/>
    <w:link w:val="NoSpacingChar"/>
    <w:uiPriority w:val="1"/>
    <w:qFormat/>
    <w:rsid w:val="003D4C15"/>
    <w:pPr>
      <w:spacing w:after="0" w:line="240" w:lineRule="auto"/>
    </w:pPr>
    <w:rPr>
      <w:rFonts w:ascii="Calibri" w:eastAsia="Times New Roman" w:hAnsi="Calibri" w:cs="Times New Roman"/>
    </w:rPr>
  </w:style>
  <w:style w:type="character" w:customStyle="1" w:styleId="NoSpacingChar">
    <w:name w:val="No Spacing Char"/>
    <w:basedOn w:val="DefaultParagraphFont"/>
    <w:link w:val="NoSpacing"/>
    <w:uiPriority w:val="1"/>
    <w:rsid w:val="003D4C15"/>
    <w:rPr>
      <w:rFonts w:ascii="Calibri" w:eastAsia="Times New Roman" w:hAnsi="Calibri" w:cs="Times New Roman"/>
    </w:rPr>
  </w:style>
  <w:style w:type="paragraph" w:styleId="BalloonText">
    <w:name w:val="Balloon Text"/>
    <w:basedOn w:val="Normal"/>
    <w:link w:val="BalloonTextChar"/>
    <w:uiPriority w:val="99"/>
    <w:semiHidden/>
    <w:unhideWhenUsed/>
    <w:rsid w:val="003D4C15"/>
    <w:rPr>
      <w:rFonts w:ascii="Tahoma" w:hAnsi="Tahoma" w:cs="Tahoma"/>
      <w:sz w:val="16"/>
      <w:szCs w:val="16"/>
    </w:rPr>
  </w:style>
  <w:style w:type="character" w:customStyle="1" w:styleId="BalloonTextChar">
    <w:name w:val="Balloon Text Char"/>
    <w:basedOn w:val="DefaultParagraphFont"/>
    <w:link w:val="BalloonText"/>
    <w:uiPriority w:val="99"/>
    <w:semiHidden/>
    <w:rsid w:val="003D4C15"/>
    <w:rPr>
      <w:rFonts w:ascii="Tahoma" w:eastAsia="Times New Roman" w:hAnsi="Tahoma" w:cs="Tahoma"/>
      <w:sz w:val="16"/>
      <w:szCs w:val="16"/>
      <w:lang w:eastAsia="lt-LT"/>
    </w:rPr>
  </w:style>
  <w:style w:type="character" w:styleId="FollowedHyperlink">
    <w:name w:val="FollowedHyperlink"/>
    <w:basedOn w:val="DefaultParagraphFont"/>
    <w:uiPriority w:val="99"/>
    <w:semiHidden/>
    <w:unhideWhenUsed/>
    <w:rsid w:val="003D4C15"/>
    <w:rPr>
      <w:color w:val="800080"/>
      <w:u w:val="single"/>
    </w:rPr>
  </w:style>
  <w:style w:type="paragraph" w:styleId="TOC5">
    <w:name w:val="toc 5"/>
    <w:basedOn w:val="Normal"/>
    <w:next w:val="Normal"/>
    <w:autoRedefine/>
    <w:uiPriority w:val="39"/>
    <w:unhideWhenUsed/>
    <w:rsid w:val="003D4C15"/>
    <w:pPr>
      <w:ind w:left="960"/>
    </w:pPr>
    <w:rPr>
      <w:rFonts w:ascii="Calibri" w:hAnsi="Calibri"/>
      <w:sz w:val="18"/>
      <w:szCs w:val="18"/>
    </w:rPr>
  </w:style>
  <w:style w:type="character" w:styleId="Emphasis">
    <w:name w:val="Emphasis"/>
    <w:basedOn w:val="DefaultParagraphFont"/>
    <w:qFormat/>
    <w:rsid w:val="003D4C15"/>
    <w:rPr>
      <w:rFonts w:ascii="Times New Roman" w:hAnsi="Times New Roman"/>
      <w:i/>
      <w:iCs/>
      <w:sz w:val="22"/>
    </w:rPr>
  </w:style>
  <w:style w:type="character" w:customStyle="1" w:styleId="Pagrindinistekstas11">
    <w:name w:val="Pagrindinis tekstas (11)_"/>
    <w:basedOn w:val="DefaultParagraphFont"/>
    <w:link w:val="Pagrindinistekstas110"/>
    <w:rsid w:val="003D4C15"/>
    <w:rPr>
      <w:sz w:val="23"/>
      <w:szCs w:val="23"/>
      <w:shd w:val="clear" w:color="auto" w:fill="FFFFFF"/>
    </w:rPr>
  </w:style>
  <w:style w:type="paragraph" w:customStyle="1" w:styleId="Pagrindinistekstas110">
    <w:name w:val="Pagrindinis tekstas (11)"/>
    <w:basedOn w:val="Normal"/>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CommentText">
    <w:name w:val="annotation text"/>
    <w:basedOn w:val="Normal"/>
    <w:link w:val="CommentTextChar"/>
    <w:uiPriority w:val="99"/>
    <w:unhideWhenUsed/>
    <w:rsid w:val="003D4C15"/>
    <w:pPr>
      <w:spacing w:after="200" w:line="276" w:lineRule="auto"/>
    </w:pPr>
    <w:rPr>
      <w:rFonts w:ascii="Calibri" w:eastAsia="Calibri" w:hAnsi="Calibri"/>
      <w:sz w:val="20"/>
      <w:szCs w:val="20"/>
      <w:lang w:eastAsia="en-US"/>
    </w:rPr>
  </w:style>
  <w:style w:type="character" w:customStyle="1" w:styleId="CommentTextChar">
    <w:name w:val="Comment Text Char"/>
    <w:basedOn w:val="DefaultParagraphFont"/>
    <w:link w:val="CommentText"/>
    <w:uiPriority w:val="99"/>
    <w:rsid w:val="003D4C15"/>
    <w:rPr>
      <w:rFonts w:ascii="Calibri" w:eastAsia="Calibri" w:hAnsi="Calibri" w:cs="Times New Roman"/>
      <w:sz w:val="20"/>
      <w:szCs w:val="20"/>
    </w:rPr>
  </w:style>
  <w:style w:type="paragraph" w:styleId="BodyTextIndent3">
    <w:name w:val="Body Text Indent 3"/>
    <w:basedOn w:val="Normal"/>
    <w:link w:val="BodyTextIndent3Char"/>
    <w:uiPriority w:val="99"/>
    <w:unhideWhenUsed/>
    <w:rsid w:val="003D4C15"/>
    <w:pPr>
      <w:spacing w:after="120"/>
      <w:ind w:left="283"/>
    </w:pPr>
    <w:rPr>
      <w:sz w:val="16"/>
      <w:szCs w:val="16"/>
    </w:rPr>
  </w:style>
  <w:style w:type="character" w:customStyle="1" w:styleId="BodyTextIndent3Char">
    <w:name w:val="Body Text Indent 3 Char"/>
    <w:basedOn w:val="DefaultParagraphFont"/>
    <w:link w:val="BodyTextIndent3"/>
    <w:uiPriority w:val="99"/>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OCHeading">
    <w:name w:val="TOC Heading"/>
    <w:basedOn w:val="Heading1"/>
    <w:next w:val="Normal"/>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DefaultParagraphFont"/>
    <w:uiPriority w:val="99"/>
    <w:rsid w:val="003D4C15"/>
    <w:rPr>
      <w:rFonts w:ascii="Times New Roman" w:hAnsi="Times New Roman" w:cs="Times New Roman"/>
      <w:spacing w:val="0"/>
      <w:sz w:val="22"/>
      <w:szCs w:val="22"/>
      <w:u w:val="single"/>
    </w:rPr>
  </w:style>
  <w:style w:type="character" w:customStyle="1" w:styleId="statymonr">
    <w:name w:val="statymonr"/>
    <w:basedOn w:val="DefaultParagraphFont"/>
    <w:uiPriority w:val="99"/>
    <w:rsid w:val="003D4C15"/>
  </w:style>
  <w:style w:type="character" w:customStyle="1" w:styleId="typewriter">
    <w:name w:val="typewriter"/>
    <w:basedOn w:val="DefaultParagraphFont"/>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ListParagraph">
    <w:name w:val="List Paragraph"/>
    <w:aliases w:val="Table of contents numbered,List Paragraph21,Lentele,List Paragraph2,ERP-List Paragraph,List Paragraph11,Bullet EY,Buletai,lp1,Bullet 1,Use Case List Paragraph,Numbering,List Paragraph111,Paragraph,List Paragraph Red"/>
    <w:basedOn w:val="Normal"/>
    <w:link w:val="ListParagraphChar"/>
    <w:uiPriority w:val="34"/>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DefaultParagraphFont"/>
    <w:rsid w:val="003D4C15"/>
  </w:style>
  <w:style w:type="character" w:customStyle="1" w:styleId="FontStyle61">
    <w:name w:val="Font Style61"/>
    <w:basedOn w:val="DefaultParagraphFont"/>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DefaultParagraphFont"/>
    <w:rsid w:val="003D4C15"/>
    <w:rPr>
      <w:rFonts w:ascii="Microsoft Sans Serif" w:hAnsi="Microsoft Sans Serif" w:cs="Microsoft Sans Serif" w:hint="default"/>
      <w:sz w:val="20"/>
      <w:szCs w:val="20"/>
    </w:rPr>
  </w:style>
  <w:style w:type="character" w:customStyle="1" w:styleId="FontStyle47">
    <w:name w:val="Font Style47"/>
    <w:basedOn w:val="DefaultParagraphFont"/>
    <w:uiPriority w:val="99"/>
    <w:rsid w:val="003D4C15"/>
    <w:rPr>
      <w:rFonts w:ascii="Times New Roman" w:hAnsi="Times New Roman" w:cs="Times New Roman"/>
      <w:sz w:val="22"/>
      <w:szCs w:val="22"/>
    </w:rPr>
  </w:style>
  <w:style w:type="character" w:customStyle="1" w:styleId="FontStyle26">
    <w:name w:val="Font Style26"/>
    <w:basedOn w:val="DefaultParagraphFont"/>
    <w:rsid w:val="003D4C15"/>
    <w:rPr>
      <w:rFonts w:ascii="Times New Roman" w:hAnsi="Times New Roman" w:cs="Times New Roman"/>
      <w:i/>
      <w:iCs/>
      <w:sz w:val="22"/>
      <w:szCs w:val="22"/>
    </w:rPr>
  </w:style>
  <w:style w:type="character" w:customStyle="1" w:styleId="FontStyle22">
    <w:name w:val="Font Style22"/>
    <w:basedOn w:val="DefaultParagraphFont"/>
    <w:uiPriority w:val="99"/>
    <w:rsid w:val="003D4C15"/>
    <w:rPr>
      <w:rFonts w:ascii="Times New Roman" w:hAnsi="Times New Roman" w:cs="Times New Roman"/>
      <w:i/>
      <w:iCs/>
      <w:sz w:val="20"/>
      <w:szCs w:val="20"/>
    </w:rPr>
  </w:style>
  <w:style w:type="character" w:customStyle="1" w:styleId="FontStyle23">
    <w:name w:val="Font Style23"/>
    <w:basedOn w:val="DefaultParagraphFont"/>
    <w:uiPriority w:val="99"/>
    <w:rsid w:val="003D4C15"/>
    <w:rPr>
      <w:rFonts w:ascii="Times New Roman" w:hAnsi="Times New Roman" w:cs="Times New Roman"/>
      <w:b/>
      <w:bCs/>
      <w:sz w:val="22"/>
      <w:szCs w:val="22"/>
    </w:rPr>
  </w:style>
  <w:style w:type="paragraph" w:customStyle="1" w:styleId="tajtip">
    <w:name w:val="tajtip"/>
    <w:basedOn w:val="Normal"/>
    <w:rsid w:val="003D4C15"/>
    <w:pPr>
      <w:spacing w:before="100" w:beforeAutospacing="1" w:after="100" w:afterAutospacing="1"/>
    </w:pPr>
  </w:style>
  <w:style w:type="character" w:styleId="Strong">
    <w:name w:val="Strong"/>
    <w:uiPriority w:val="22"/>
    <w:qFormat/>
    <w:rsid w:val="003D4C15"/>
    <w:rPr>
      <w:b/>
      <w:bCs/>
    </w:rPr>
  </w:style>
  <w:style w:type="character" w:customStyle="1" w:styleId="dnr">
    <w:name w:val="dnr"/>
    <w:basedOn w:val="DefaultParagraphFont"/>
    <w:rsid w:val="003D4C15"/>
  </w:style>
  <w:style w:type="character" w:customStyle="1" w:styleId="apple-style-span">
    <w:name w:val="apple-style-span"/>
    <w:basedOn w:val="DefaultParagraphFont"/>
    <w:rsid w:val="003D4C15"/>
  </w:style>
  <w:style w:type="paragraph" w:customStyle="1" w:styleId="bodytext0">
    <w:name w:val="bodytext"/>
    <w:basedOn w:val="Normal"/>
    <w:uiPriority w:val="99"/>
    <w:rsid w:val="003D4C15"/>
    <w:pPr>
      <w:spacing w:before="100" w:beforeAutospacing="1" w:after="100" w:afterAutospacing="1"/>
    </w:pPr>
  </w:style>
  <w:style w:type="character" w:customStyle="1" w:styleId="quatationtext">
    <w:name w:val="quatation_text"/>
    <w:basedOn w:val="DefaultParagraphFont"/>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DefaultParagraphFont"/>
    <w:rsid w:val="003D4C15"/>
    <w:rPr>
      <w:rFonts w:ascii="Times New Roman" w:hAnsi="Times New Roman" w:cs="Times New Roman"/>
      <w:sz w:val="20"/>
      <w:szCs w:val="20"/>
    </w:rPr>
  </w:style>
  <w:style w:type="character" w:customStyle="1" w:styleId="FontStyle11">
    <w:name w:val="Font Style11"/>
    <w:basedOn w:val="DefaultParagraphFont"/>
    <w:rsid w:val="003D4C15"/>
    <w:rPr>
      <w:rFonts w:ascii="Times New Roman" w:hAnsi="Times New Roman" w:cs="Times New Roman"/>
      <w:sz w:val="22"/>
      <w:szCs w:val="22"/>
    </w:rPr>
  </w:style>
  <w:style w:type="paragraph" w:customStyle="1" w:styleId="ListParagraph1">
    <w:name w:val="List Paragraph1"/>
    <w:basedOn w:val="Normal"/>
    <w:rsid w:val="003D4C15"/>
    <w:pPr>
      <w:spacing w:after="200" w:line="276" w:lineRule="auto"/>
      <w:ind w:left="720"/>
      <w:contextualSpacing/>
    </w:pPr>
    <w:rPr>
      <w:rFonts w:eastAsia="Calibri"/>
      <w:szCs w:val="22"/>
      <w:lang w:eastAsia="en-US"/>
    </w:rPr>
  </w:style>
  <w:style w:type="character" w:customStyle="1" w:styleId="FontStyle46">
    <w:name w:val="Font Style46"/>
    <w:basedOn w:val="DefaultParagraphFont"/>
    <w:rsid w:val="003D4C15"/>
    <w:rPr>
      <w:rFonts w:ascii="Times New Roman" w:hAnsi="Times New Roman" w:cs="Times New Roman"/>
      <w:b/>
      <w:bCs/>
      <w:sz w:val="20"/>
      <w:szCs w:val="20"/>
    </w:rPr>
  </w:style>
  <w:style w:type="character" w:customStyle="1" w:styleId="CharChar10">
    <w:name w:val="Char Char10"/>
    <w:basedOn w:val="DefaultParagraphFont"/>
    <w:rsid w:val="003D4C15"/>
    <w:rPr>
      <w:sz w:val="28"/>
      <w:lang w:eastAsia="en-US"/>
    </w:rPr>
  </w:style>
  <w:style w:type="character" w:customStyle="1" w:styleId="FontStyle12">
    <w:name w:val="Font Style12"/>
    <w:basedOn w:val="DefaultParagraphFont"/>
    <w:uiPriority w:val="99"/>
    <w:rsid w:val="003D4C15"/>
    <w:rPr>
      <w:rFonts w:ascii="Times New Roman" w:hAnsi="Times New Roman" w:cs="Times New Roman"/>
      <w:i/>
      <w:iCs/>
      <w:sz w:val="22"/>
      <w:szCs w:val="22"/>
    </w:rPr>
  </w:style>
  <w:style w:type="character" w:customStyle="1" w:styleId="FontStyle14">
    <w:name w:val="Font Style14"/>
    <w:basedOn w:val="DefaultParagraphFont"/>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Normal"/>
    <w:next w:val="Normal"/>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DefaultParagraphFont"/>
    <w:rsid w:val="003D4C15"/>
    <w:rPr>
      <w:rFonts w:ascii="Times New Roman" w:hAnsi="Times New Roman" w:cs="Times New Roman"/>
      <w:b/>
      <w:bCs/>
      <w:spacing w:val="0"/>
      <w:sz w:val="23"/>
      <w:szCs w:val="23"/>
    </w:rPr>
  </w:style>
  <w:style w:type="paragraph" w:styleId="TOC6">
    <w:name w:val="toc 6"/>
    <w:basedOn w:val="Normal"/>
    <w:next w:val="Normal"/>
    <w:autoRedefine/>
    <w:uiPriority w:val="39"/>
    <w:unhideWhenUsed/>
    <w:rsid w:val="003D4C15"/>
    <w:pPr>
      <w:ind w:left="1200"/>
    </w:pPr>
    <w:rPr>
      <w:rFonts w:ascii="Calibri" w:hAnsi="Calibri"/>
      <w:sz w:val="18"/>
      <w:szCs w:val="18"/>
    </w:rPr>
  </w:style>
  <w:style w:type="paragraph" w:styleId="TOC7">
    <w:name w:val="toc 7"/>
    <w:basedOn w:val="Normal"/>
    <w:next w:val="Normal"/>
    <w:autoRedefine/>
    <w:uiPriority w:val="39"/>
    <w:unhideWhenUsed/>
    <w:rsid w:val="003D4C15"/>
    <w:pPr>
      <w:ind w:left="1440"/>
    </w:pPr>
    <w:rPr>
      <w:rFonts w:ascii="Calibri" w:hAnsi="Calibri"/>
      <w:sz w:val="18"/>
      <w:szCs w:val="18"/>
    </w:rPr>
  </w:style>
  <w:style w:type="paragraph" w:styleId="TOC8">
    <w:name w:val="toc 8"/>
    <w:basedOn w:val="Normal"/>
    <w:next w:val="Normal"/>
    <w:autoRedefine/>
    <w:uiPriority w:val="39"/>
    <w:unhideWhenUsed/>
    <w:rsid w:val="003D4C15"/>
    <w:pPr>
      <w:ind w:left="1680"/>
    </w:pPr>
    <w:rPr>
      <w:rFonts w:ascii="Calibri" w:hAnsi="Calibri"/>
      <w:sz w:val="18"/>
      <w:szCs w:val="18"/>
    </w:rPr>
  </w:style>
  <w:style w:type="paragraph" w:styleId="TOC9">
    <w:name w:val="toc 9"/>
    <w:basedOn w:val="Normal"/>
    <w:next w:val="Normal"/>
    <w:autoRedefine/>
    <w:uiPriority w:val="39"/>
    <w:unhideWhenUsed/>
    <w:rsid w:val="003D4C15"/>
    <w:pPr>
      <w:ind w:left="1920"/>
    </w:pPr>
    <w:rPr>
      <w:rFonts w:ascii="Calibri" w:hAnsi="Calibri"/>
      <w:sz w:val="18"/>
      <w:szCs w:val="18"/>
    </w:rPr>
  </w:style>
  <w:style w:type="character" w:customStyle="1" w:styleId="FontStyle54">
    <w:name w:val="Font Style54"/>
    <w:basedOn w:val="DefaultParagraphFont"/>
    <w:uiPriority w:val="99"/>
    <w:rsid w:val="003D4C15"/>
    <w:rPr>
      <w:rFonts w:ascii="Courier New" w:hAnsi="Courier New" w:cs="Courier New"/>
      <w:sz w:val="22"/>
      <w:szCs w:val="22"/>
    </w:rPr>
  </w:style>
  <w:style w:type="character" w:customStyle="1" w:styleId="Pagrindinistekstas24">
    <w:name w:val="Pagrindinis tekstas (2)4"/>
    <w:basedOn w:val="DefaultParagraphFont"/>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DefaultParagraphFont"/>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DefaultParagraphFont"/>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DefaultParagraphFont"/>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DefaultParagraphFont"/>
    <w:rsid w:val="003D4C15"/>
    <w:rPr>
      <w:rFonts w:ascii="Arial Narrow" w:hAnsi="Arial Narrow" w:cs="Arial Narrow"/>
      <w:i/>
      <w:iCs/>
      <w:sz w:val="18"/>
      <w:szCs w:val="18"/>
    </w:rPr>
  </w:style>
  <w:style w:type="character" w:customStyle="1" w:styleId="FontStyle49">
    <w:name w:val="Font Style49"/>
    <w:basedOn w:val="DefaultParagraphFont"/>
    <w:rsid w:val="003D4C15"/>
    <w:rPr>
      <w:rFonts w:ascii="Times New Roman" w:hAnsi="Times New Roman" w:cs="Times New Roman"/>
      <w:sz w:val="20"/>
      <w:szCs w:val="20"/>
    </w:rPr>
  </w:style>
  <w:style w:type="paragraph" w:styleId="Subtitle">
    <w:name w:val="Subtitle"/>
    <w:basedOn w:val="Normal"/>
    <w:next w:val="Normal"/>
    <w:link w:val="SubtitleChar"/>
    <w:qFormat/>
    <w:rsid w:val="003D4C15"/>
    <w:pPr>
      <w:spacing w:after="60"/>
      <w:jc w:val="center"/>
      <w:outlineLvl w:val="1"/>
    </w:pPr>
    <w:rPr>
      <w:rFonts w:ascii="Cambria" w:hAnsi="Cambria"/>
    </w:rPr>
  </w:style>
  <w:style w:type="character" w:customStyle="1" w:styleId="SubtitleChar">
    <w:name w:val="Subtitle Char"/>
    <w:basedOn w:val="DefaultParagraphFont"/>
    <w:link w:val="Subtitle"/>
    <w:rsid w:val="003D4C15"/>
    <w:rPr>
      <w:rFonts w:ascii="Cambria" w:eastAsia="Times New Roman" w:hAnsi="Cambria" w:cs="Times New Roman"/>
      <w:sz w:val="24"/>
      <w:szCs w:val="24"/>
      <w:lang w:eastAsia="lt-LT"/>
    </w:rPr>
  </w:style>
  <w:style w:type="paragraph" w:styleId="Index1">
    <w:name w:val="index 1"/>
    <w:basedOn w:val="Normal"/>
    <w:next w:val="Normal"/>
    <w:autoRedefine/>
    <w:uiPriority w:val="99"/>
    <w:semiHidden/>
    <w:unhideWhenUsed/>
    <w:rsid w:val="003D4C15"/>
    <w:pPr>
      <w:ind w:left="240" w:hanging="240"/>
    </w:pPr>
  </w:style>
  <w:style w:type="character" w:customStyle="1" w:styleId="normal-h">
    <w:name w:val="normal-h"/>
    <w:basedOn w:val="DefaultParagraphFont"/>
    <w:rsid w:val="003D4C15"/>
  </w:style>
  <w:style w:type="paragraph" w:customStyle="1" w:styleId="Sraopastraipa1">
    <w:name w:val="Sąrašo pastraipa1"/>
    <w:basedOn w:val="Normal"/>
    <w:rsid w:val="003D4C15"/>
    <w:pPr>
      <w:ind w:left="720"/>
    </w:pPr>
    <w:rPr>
      <w:rFonts w:eastAsia="Calibri"/>
      <w:sz w:val="20"/>
      <w:szCs w:val="20"/>
      <w:lang w:eastAsia="en-US"/>
    </w:rPr>
  </w:style>
  <w:style w:type="paragraph" w:customStyle="1" w:styleId="tactin">
    <w:name w:val="tactin"/>
    <w:basedOn w:val="Normal"/>
    <w:rsid w:val="003D4C15"/>
    <w:pPr>
      <w:spacing w:before="100" w:beforeAutospacing="1" w:after="100" w:afterAutospacing="1"/>
    </w:pPr>
  </w:style>
  <w:style w:type="character" w:customStyle="1" w:styleId="Pagrindinistekstas7">
    <w:name w:val="Pagrindinis tekstas (7)_"/>
    <w:basedOn w:val="DefaultParagraphFont"/>
    <w:link w:val="Pagrindinistekstas71"/>
    <w:rsid w:val="003D4C15"/>
    <w:rPr>
      <w:shd w:val="clear" w:color="auto" w:fill="FFFFFF"/>
    </w:rPr>
  </w:style>
  <w:style w:type="paragraph" w:customStyle="1" w:styleId="Pagrindinistekstas71">
    <w:name w:val="Pagrindinis tekstas (7)1"/>
    <w:basedOn w:val="Normal"/>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DefaultParagraphFont"/>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DefaultParagraphFont"/>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
    <w:name w:val="Pagrindinis tekstas_"/>
    <w:basedOn w:val="DefaultParagraphFont"/>
    <w:link w:val="Pagrindinistekstas1"/>
    <w:locked/>
    <w:rsid w:val="003D4C15"/>
    <w:rPr>
      <w:spacing w:val="4"/>
      <w:sz w:val="21"/>
      <w:szCs w:val="21"/>
      <w:shd w:val="clear" w:color="auto" w:fill="FFFFFF"/>
    </w:rPr>
  </w:style>
  <w:style w:type="paragraph" w:customStyle="1" w:styleId="Pagrindinistekstas1">
    <w:name w:val="Pagrindinis tekstas1"/>
    <w:basedOn w:val="Normal"/>
    <w:link w:val="Pagrindinistekstas"/>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DefaultParagraphFont"/>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CommentReference">
    <w:name w:val="annotation reference"/>
    <w:basedOn w:val="DefaultParagraphFont"/>
    <w:uiPriority w:val="99"/>
    <w:semiHidden/>
    <w:unhideWhenUsed/>
    <w:rsid w:val="003D4C15"/>
    <w:rPr>
      <w:sz w:val="16"/>
      <w:szCs w:val="16"/>
    </w:rPr>
  </w:style>
  <w:style w:type="paragraph" w:customStyle="1" w:styleId="Sraopastraipa2">
    <w:name w:val="Sąrašo pastraipa2"/>
    <w:basedOn w:val="Normal"/>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Normal"/>
    <w:rsid w:val="003D4C15"/>
    <w:pPr>
      <w:spacing w:before="100" w:beforeAutospacing="1" w:after="100" w:afterAutospacing="1"/>
    </w:pPr>
  </w:style>
  <w:style w:type="character" w:customStyle="1" w:styleId="clear">
    <w:name w:val="clear"/>
    <w:basedOn w:val="DefaultParagraphFont"/>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SubtleEmphasis">
    <w:name w:val="Subtle Emphasis"/>
    <w:basedOn w:val="DefaultParagraphFont"/>
    <w:uiPriority w:val="19"/>
    <w:qFormat/>
    <w:rsid w:val="003D4C15"/>
    <w:rPr>
      <w:i/>
      <w:iCs/>
      <w:color w:val="808080" w:themeColor="text1" w:themeTint="7F"/>
    </w:rPr>
  </w:style>
  <w:style w:type="paragraph" w:customStyle="1" w:styleId="Apzvalgai1">
    <w:name w:val="Apzvalgai1"/>
    <w:basedOn w:val="Heading1"/>
    <w:link w:val="Apzvalgai1Char"/>
    <w:qFormat/>
    <w:rsid w:val="003D4C15"/>
  </w:style>
  <w:style w:type="paragraph" w:customStyle="1" w:styleId="ApzvalgaiItalikas">
    <w:name w:val="Apzvalgai_Italikas"/>
    <w:basedOn w:val="Heading2"/>
    <w:link w:val="ApzvalgaiItalikasChar"/>
    <w:rsid w:val="003D4C15"/>
  </w:style>
  <w:style w:type="character" w:customStyle="1" w:styleId="Apzvalgai1Char">
    <w:name w:val="Apzvalgai1 Char"/>
    <w:basedOn w:val="Heading1Char2"/>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Heading2Char"/>
    <w:link w:val="ApzvalgaiItalikas"/>
    <w:rsid w:val="003D4C15"/>
    <w:rPr>
      <w:rFonts w:ascii="Calibri" w:eastAsia="Arial Unicode MS" w:hAnsi="Calibri" w:cs="Times New Roman"/>
      <w:bCs w:val="0"/>
      <w:i/>
      <w:iCs/>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DefaultParagraphFont"/>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DefaultParagraphFont"/>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NormalWebChar">
    <w:name w:val="Normal (Web) Char"/>
    <w:link w:val="NormalWeb"/>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CommentSubject">
    <w:name w:val="annotation subject"/>
    <w:basedOn w:val="CommentText"/>
    <w:next w:val="CommentText"/>
    <w:link w:val="CommentSubjectChar"/>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CommentSubjectChar">
    <w:name w:val="Comment Subject Char"/>
    <w:basedOn w:val="CommentTextChar"/>
    <w:link w:val="CommentSubject"/>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Normal"/>
    <w:rsid w:val="003D4C15"/>
    <w:pPr>
      <w:spacing w:before="100" w:beforeAutospacing="1" w:after="100" w:afterAutospacing="1"/>
    </w:pPr>
  </w:style>
  <w:style w:type="character" w:customStyle="1" w:styleId="FontStyle19">
    <w:name w:val="Font Style19"/>
    <w:basedOn w:val="DefaultParagraphFont"/>
    <w:rsid w:val="003D4C15"/>
    <w:rPr>
      <w:rFonts w:ascii="Times New Roman" w:hAnsi="Times New Roman" w:cs="Times New Roman"/>
      <w:sz w:val="20"/>
      <w:szCs w:val="20"/>
    </w:rPr>
  </w:style>
  <w:style w:type="character" w:customStyle="1" w:styleId="FontStyle20">
    <w:name w:val="Font Style20"/>
    <w:basedOn w:val="DefaultParagraphFont"/>
    <w:rsid w:val="003D4C15"/>
    <w:rPr>
      <w:rFonts w:ascii="Times New Roman" w:hAnsi="Times New Roman" w:cs="Times New Roman"/>
      <w:sz w:val="22"/>
      <w:szCs w:val="22"/>
    </w:rPr>
  </w:style>
  <w:style w:type="character" w:customStyle="1" w:styleId="sfbbfee58">
    <w:name w:val="sfbbfee58"/>
    <w:basedOn w:val="DefaultParagraphFont"/>
    <w:rsid w:val="003D4C15"/>
  </w:style>
  <w:style w:type="paragraph" w:customStyle="1" w:styleId="Style3">
    <w:name w:val="Style3"/>
    <w:basedOn w:val="Normal"/>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Normal"/>
    <w:rsid w:val="00F24296"/>
    <w:pPr>
      <w:spacing w:before="100" w:beforeAutospacing="1" w:after="100" w:afterAutospacing="1"/>
    </w:pPr>
  </w:style>
  <w:style w:type="character" w:customStyle="1" w:styleId="Neapdorotaspaminjimas1">
    <w:name w:val="Neapdorotas paminėjimas1"/>
    <w:basedOn w:val="DefaultParagraphFont"/>
    <w:uiPriority w:val="99"/>
    <w:semiHidden/>
    <w:unhideWhenUsed/>
    <w:rsid w:val="00AC73BF"/>
    <w:rPr>
      <w:color w:val="808080"/>
      <w:shd w:val="clear" w:color="auto" w:fill="E6E6E6"/>
    </w:rPr>
  </w:style>
  <w:style w:type="paragraph" w:customStyle="1" w:styleId="Style9">
    <w:name w:val="Style9"/>
    <w:basedOn w:val="Normal"/>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Normal"/>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DefaultParagraphFont"/>
    <w:uiPriority w:val="99"/>
    <w:semiHidden/>
    <w:unhideWhenUsed/>
    <w:rsid w:val="00715AA9"/>
    <w:rPr>
      <w:color w:val="808080"/>
      <w:shd w:val="clear" w:color="auto" w:fill="E6E6E6"/>
    </w:rPr>
  </w:style>
  <w:style w:type="character" w:customStyle="1" w:styleId="ListParagraphChar">
    <w:name w:val="List Paragraph Char"/>
    <w:aliases w:val="Table of contents numbered Char,List Paragraph21 Char,Lentele Char,List Paragraph2 Char,ERP-List Paragraph Char,List Paragraph11 Char,Bullet EY Char,Buletai Char,lp1 Char,Bullet 1 Char,Use Case List Paragraph Char,Numbering Char"/>
    <w:link w:val="ListParagraph"/>
    <w:uiPriority w:val="34"/>
    <w:qFormat/>
    <w:locked/>
    <w:rsid w:val="00B42228"/>
    <w:rPr>
      <w:rFonts w:ascii="Times New Roman" w:eastAsia="Calibri" w:hAnsi="Times New Roman" w:cs="Times New Roman"/>
      <w:sz w:val="24"/>
    </w:rPr>
  </w:style>
  <w:style w:type="character" w:customStyle="1" w:styleId="Bodytext2">
    <w:name w:val="Body text (2)"/>
    <w:basedOn w:val="DefaultParagraphFont"/>
    <w:uiPriority w:val="99"/>
    <w:rsid w:val="00B42228"/>
    <w:rPr>
      <w:rFonts w:ascii="Times New Roman" w:hAnsi="Times New Roman" w:cs="Times New Roman" w:hint="default"/>
      <w:shd w:val="clear" w:color="auto" w:fill="FFFFFF"/>
    </w:rPr>
  </w:style>
  <w:style w:type="character" w:customStyle="1" w:styleId="Bodytext2Bold">
    <w:name w:val="Body text (2) + Bold"/>
    <w:basedOn w:val="DefaultParagraphFont"/>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DefaultParagraphFont"/>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DefaultParagraphFont"/>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DefaultParagraphFont"/>
    <w:rsid w:val="00DB1089"/>
  </w:style>
  <w:style w:type="numbering" w:customStyle="1" w:styleId="WWNum17">
    <w:name w:val="WWNum17"/>
    <w:basedOn w:val="NoList"/>
    <w:rsid w:val="00685897"/>
    <w:pPr>
      <w:numPr>
        <w:numId w:val="1"/>
      </w:numPr>
    </w:pPr>
  </w:style>
  <w:style w:type="character" w:customStyle="1" w:styleId="UnresolvedMention2">
    <w:name w:val="Unresolved Mention2"/>
    <w:basedOn w:val="DefaultParagraphFont"/>
    <w:uiPriority w:val="99"/>
    <w:semiHidden/>
    <w:unhideWhenUsed/>
    <w:rsid w:val="005E6140"/>
    <w:rPr>
      <w:color w:val="605E5C"/>
      <w:shd w:val="clear" w:color="auto" w:fill="E1DFDD"/>
    </w:rPr>
  </w:style>
  <w:style w:type="paragraph" w:customStyle="1" w:styleId="list-paragraph">
    <w:name w:val="list-paragraph"/>
    <w:basedOn w:val="Normal"/>
    <w:rsid w:val="00BE611E"/>
    <w:pPr>
      <w:spacing w:before="100" w:beforeAutospacing="1" w:after="100" w:afterAutospacing="1"/>
    </w:pPr>
    <w:rPr>
      <w:rFonts w:eastAsiaTheme="minorEastAsia"/>
    </w:rPr>
  </w:style>
  <w:style w:type="character" w:customStyle="1" w:styleId="UnresolvedMention3">
    <w:name w:val="Unresolved Mention3"/>
    <w:basedOn w:val="DefaultParagraphFont"/>
    <w:uiPriority w:val="99"/>
    <w:semiHidden/>
    <w:unhideWhenUsed/>
    <w:rsid w:val="00B234F5"/>
    <w:rPr>
      <w:color w:val="605E5C"/>
      <w:shd w:val="clear" w:color="auto" w:fill="E1DFDD"/>
    </w:rPr>
  </w:style>
  <w:style w:type="character" w:customStyle="1" w:styleId="UnresolvedMention4">
    <w:name w:val="Unresolved Mention4"/>
    <w:basedOn w:val="DefaultParagraphFont"/>
    <w:uiPriority w:val="99"/>
    <w:semiHidden/>
    <w:unhideWhenUsed/>
    <w:rsid w:val="008D7C97"/>
    <w:rPr>
      <w:color w:val="605E5C"/>
      <w:shd w:val="clear" w:color="auto" w:fill="E1DFDD"/>
    </w:rPr>
  </w:style>
  <w:style w:type="character" w:customStyle="1" w:styleId="UnresolvedMention5">
    <w:name w:val="Unresolved Mention5"/>
    <w:basedOn w:val="DefaultParagraphFont"/>
    <w:uiPriority w:val="99"/>
    <w:semiHidden/>
    <w:unhideWhenUsed/>
    <w:rsid w:val="00983365"/>
    <w:rPr>
      <w:color w:val="605E5C"/>
      <w:shd w:val="clear" w:color="auto" w:fill="E1DFDD"/>
    </w:rPr>
  </w:style>
  <w:style w:type="character" w:customStyle="1" w:styleId="UnresolvedMention6">
    <w:name w:val="Unresolved Mention6"/>
    <w:basedOn w:val="DefaultParagraphFont"/>
    <w:uiPriority w:val="99"/>
    <w:semiHidden/>
    <w:unhideWhenUsed/>
    <w:rsid w:val="00B07866"/>
    <w:rPr>
      <w:color w:val="605E5C"/>
      <w:shd w:val="clear" w:color="auto" w:fill="E1DFDD"/>
    </w:rPr>
  </w:style>
  <w:style w:type="character" w:customStyle="1" w:styleId="UnresolvedMention7">
    <w:name w:val="Unresolved Mention7"/>
    <w:basedOn w:val="DefaultParagraphFont"/>
    <w:uiPriority w:val="99"/>
    <w:semiHidden/>
    <w:unhideWhenUsed/>
    <w:rsid w:val="00AF1D2A"/>
    <w:rPr>
      <w:color w:val="605E5C"/>
      <w:shd w:val="clear" w:color="auto" w:fill="E1DFDD"/>
    </w:rPr>
  </w:style>
  <w:style w:type="character" w:customStyle="1" w:styleId="UnresolvedMention8">
    <w:name w:val="Unresolved Mention8"/>
    <w:basedOn w:val="DefaultParagraphFont"/>
    <w:uiPriority w:val="99"/>
    <w:semiHidden/>
    <w:unhideWhenUsed/>
    <w:rsid w:val="003813D4"/>
    <w:rPr>
      <w:color w:val="605E5C"/>
      <w:shd w:val="clear" w:color="auto" w:fill="E1DFDD"/>
    </w:rPr>
  </w:style>
  <w:style w:type="numbering" w:customStyle="1" w:styleId="ImportedStyle1">
    <w:name w:val="Imported Style 1"/>
    <w:rsid w:val="00CC5129"/>
    <w:pPr>
      <w:numPr>
        <w:numId w:val="2"/>
      </w:numPr>
    </w:pPr>
  </w:style>
  <w:style w:type="character" w:customStyle="1" w:styleId="UnresolvedMention9">
    <w:name w:val="Unresolved Mention9"/>
    <w:basedOn w:val="DefaultParagraphFont"/>
    <w:uiPriority w:val="99"/>
    <w:semiHidden/>
    <w:unhideWhenUsed/>
    <w:rsid w:val="00C40C55"/>
    <w:rPr>
      <w:color w:val="605E5C"/>
      <w:shd w:val="clear" w:color="auto" w:fill="E1DFDD"/>
    </w:rPr>
  </w:style>
  <w:style w:type="character" w:customStyle="1" w:styleId="UnresolvedMention10">
    <w:name w:val="Unresolved Mention10"/>
    <w:basedOn w:val="DefaultParagraphFont"/>
    <w:uiPriority w:val="99"/>
    <w:semiHidden/>
    <w:unhideWhenUsed/>
    <w:rsid w:val="003060ED"/>
    <w:rPr>
      <w:color w:val="605E5C"/>
      <w:shd w:val="clear" w:color="auto" w:fill="E1DFDD"/>
    </w:rPr>
  </w:style>
  <w:style w:type="character" w:customStyle="1" w:styleId="UnresolvedMention11">
    <w:name w:val="Unresolved Mention11"/>
    <w:basedOn w:val="DefaultParagraphFont"/>
    <w:uiPriority w:val="99"/>
    <w:semiHidden/>
    <w:unhideWhenUsed/>
    <w:rsid w:val="00DE4C4E"/>
    <w:rPr>
      <w:color w:val="605E5C"/>
      <w:shd w:val="clear" w:color="auto" w:fill="E1DFDD"/>
    </w:rPr>
  </w:style>
  <w:style w:type="character" w:customStyle="1" w:styleId="UnresolvedMention12">
    <w:name w:val="Unresolved Mention12"/>
    <w:basedOn w:val="DefaultParagraphFont"/>
    <w:uiPriority w:val="99"/>
    <w:semiHidden/>
    <w:unhideWhenUsed/>
    <w:rsid w:val="00F6362D"/>
    <w:rPr>
      <w:color w:val="605E5C"/>
      <w:shd w:val="clear" w:color="auto" w:fill="E1DFDD"/>
    </w:rPr>
  </w:style>
  <w:style w:type="character" w:customStyle="1" w:styleId="UnresolvedMention13">
    <w:name w:val="Unresolved Mention13"/>
    <w:basedOn w:val="DefaultParagraphFont"/>
    <w:uiPriority w:val="99"/>
    <w:semiHidden/>
    <w:unhideWhenUsed/>
    <w:rsid w:val="00DE7BE8"/>
    <w:rPr>
      <w:color w:val="605E5C"/>
      <w:shd w:val="clear" w:color="auto" w:fill="E1DFDD"/>
    </w:rPr>
  </w:style>
  <w:style w:type="paragraph" w:customStyle="1" w:styleId="s30eec3f8">
    <w:name w:val="s30eec3f8"/>
    <w:basedOn w:val="Normal"/>
    <w:rsid w:val="00DE2BCD"/>
    <w:pPr>
      <w:spacing w:before="100" w:beforeAutospacing="1" w:after="100" w:afterAutospacing="1"/>
    </w:pPr>
    <w:rPr>
      <w:lang w:val="en-US" w:eastAsia="en-US"/>
    </w:rPr>
  </w:style>
  <w:style w:type="character" w:customStyle="1" w:styleId="sb8d990e2">
    <w:name w:val="sb8d990e2"/>
    <w:basedOn w:val="DefaultParagraphFont"/>
    <w:rsid w:val="00DE2BCD"/>
  </w:style>
  <w:style w:type="character" w:customStyle="1" w:styleId="UnresolvedMention14">
    <w:name w:val="Unresolved Mention14"/>
    <w:basedOn w:val="DefaultParagraphFont"/>
    <w:uiPriority w:val="99"/>
    <w:semiHidden/>
    <w:unhideWhenUsed/>
    <w:rsid w:val="006B247E"/>
    <w:rPr>
      <w:color w:val="605E5C"/>
      <w:shd w:val="clear" w:color="auto" w:fill="E1DFDD"/>
    </w:rPr>
  </w:style>
  <w:style w:type="character" w:customStyle="1" w:styleId="UnresolvedMention15">
    <w:name w:val="Unresolved Mention15"/>
    <w:basedOn w:val="DefaultParagraphFont"/>
    <w:uiPriority w:val="99"/>
    <w:semiHidden/>
    <w:unhideWhenUsed/>
    <w:rsid w:val="00AF5451"/>
    <w:rPr>
      <w:color w:val="605E5C"/>
      <w:shd w:val="clear" w:color="auto" w:fill="E1DFDD"/>
    </w:rPr>
  </w:style>
  <w:style w:type="character" w:customStyle="1" w:styleId="UnresolvedMention16">
    <w:name w:val="Unresolved Mention16"/>
    <w:basedOn w:val="DefaultParagraphFont"/>
    <w:uiPriority w:val="99"/>
    <w:semiHidden/>
    <w:unhideWhenUsed/>
    <w:rsid w:val="00071C23"/>
    <w:rPr>
      <w:color w:val="605E5C"/>
      <w:shd w:val="clear" w:color="auto" w:fill="E1DFDD"/>
    </w:rPr>
  </w:style>
  <w:style w:type="character" w:customStyle="1" w:styleId="UnresolvedMention17">
    <w:name w:val="Unresolved Mention17"/>
    <w:basedOn w:val="DefaultParagraphFont"/>
    <w:uiPriority w:val="99"/>
    <w:semiHidden/>
    <w:unhideWhenUsed/>
    <w:rsid w:val="00AF53E8"/>
    <w:rPr>
      <w:color w:val="605E5C"/>
      <w:shd w:val="clear" w:color="auto" w:fill="E1DFDD"/>
    </w:rPr>
  </w:style>
  <w:style w:type="character" w:customStyle="1" w:styleId="UnresolvedMention18">
    <w:name w:val="Unresolved Mention18"/>
    <w:basedOn w:val="DefaultParagraphFont"/>
    <w:uiPriority w:val="99"/>
    <w:semiHidden/>
    <w:unhideWhenUsed/>
    <w:rsid w:val="00EB60DF"/>
    <w:rPr>
      <w:color w:val="605E5C"/>
      <w:shd w:val="clear" w:color="auto" w:fill="E1DFDD"/>
    </w:rPr>
  </w:style>
  <w:style w:type="character" w:customStyle="1" w:styleId="UnresolvedMention19">
    <w:name w:val="Unresolved Mention19"/>
    <w:basedOn w:val="DefaultParagraphFont"/>
    <w:uiPriority w:val="99"/>
    <w:semiHidden/>
    <w:unhideWhenUsed/>
    <w:rsid w:val="00623DF9"/>
    <w:rPr>
      <w:color w:val="605E5C"/>
      <w:shd w:val="clear" w:color="auto" w:fill="E1DFDD"/>
    </w:rPr>
  </w:style>
  <w:style w:type="paragraph" w:customStyle="1" w:styleId="prastasis1">
    <w:name w:val="Įprastasis1"/>
    <w:rsid w:val="008E7687"/>
    <w:pPr>
      <w:suppressAutoHyphens/>
      <w:autoSpaceDN w:val="0"/>
      <w:spacing w:after="0" w:line="240" w:lineRule="auto"/>
      <w:ind w:firstLine="851"/>
      <w:jc w:val="both"/>
    </w:pPr>
    <w:rPr>
      <w:rFonts w:ascii="Calibri" w:eastAsia="Calibri" w:hAnsi="Calibri" w:cs="Times New Roman"/>
    </w:rPr>
  </w:style>
  <w:style w:type="character" w:customStyle="1" w:styleId="Numatytasispastraiposriftas1">
    <w:name w:val="Numatytasis pastraipos šriftas1"/>
    <w:rsid w:val="008E7687"/>
  </w:style>
  <w:style w:type="character" w:customStyle="1" w:styleId="Bodytext211">
    <w:name w:val="Body text (2) + 11"/>
    <w:aliases w:val="5 pt,Italic"/>
    <w:basedOn w:val="DefaultParagraphFont"/>
    <w:rsid w:val="005D0834"/>
    <w:rPr>
      <w:rFonts w:ascii="Times New Roman" w:eastAsia="Times New Roman" w:hAnsi="Times New Roman" w:cs="Times New Roman" w:hint="default"/>
      <w:color w:val="000000"/>
      <w:spacing w:val="0"/>
      <w:w w:val="100"/>
      <w:position w:val="0"/>
      <w:sz w:val="23"/>
      <w:szCs w:val="23"/>
      <w:shd w:val="clear" w:color="auto" w:fill="FFFFFF"/>
      <w:lang w:val="lt-LT" w:eastAsia="lt-LT" w:bidi="lt-LT"/>
    </w:rPr>
  </w:style>
  <w:style w:type="character" w:customStyle="1" w:styleId="blackcaption">
    <w:name w:val="black_caption"/>
    <w:basedOn w:val="DefaultParagraphFont"/>
    <w:rsid w:val="003D7A35"/>
  </w:style>
  <w:style w:type="character" w:customStyle="1" w:styleId="normaltextrun">
    <w:name w:val="normaltextrun"/>
    <w:basedOn w:val="DefaultParagraphFont"/>
    <w:rsid w:val="00284990"/>
  </w:style>
  <w:style w:type="table" w:styleId="TableGrid">
    <w:name w:val="Table Grid"/>
    <w:basedOn w:val="TableNormal"/>
    <w:uiPriority w:val="59"/>
    <w:rsid w:val="009220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astasiniatinklio1">
    <w:name w:val="Įprastas (žiniatinklio)1"/>
    <w:basedOn w:val="Normal"/>
    <w:link w:val="prastasiniatinklioDiagrama"/>
    <w:uiPriority w:val="99"/>
    <w:unhideWhenUsed/>
    <w:rsid w:val="00B908EB"/>
    <w:pPr>
      <w:spacing w:before="100" w:beforeAutospacing="1" w:after="100" w:afterAutospacing="1"/>
    </w:pPr>
  </w:style>
  <w:style w:type="character" w:customStyle="1" w:styleId="prastasiniatinklioDiagrama">
    <w:name w:val="Įprastas (žiniatinklio) Diagrama"/>
    <w:link w:val="prastasiniatinklio1"/>
    <w:uiPriority w:val="99"/>
    <w:locked/>
    <w:rsid w:val="00B908EB"/>
    <w:rPr>
      <w:rFonts w:ascii="Times New Roman" w:eastAsia="Times New Roman" w:hAnsi="Times New Roman" w:cs="Times New Roman"/>
      <w:sz w:val="24"/>
      <w:szCs w:val="24"/>
      <w:lang w:eastAsia="lt-LT"/>
    </w:rPr>
  </w:style>
  <w:style w:type="character" w:customStyle="1" w:styleId="UnresolvedMention20">
    <w:name w:val="Unresolved Mention20"/>
    <w:basedOn w:val="DefaultParagraphFont"/>
    <w:uiPriority w:val="99"/>
    <w:semiHidden/>
    <w:unhideWhenUsed/>
    <w:rsid w:val="0072581C"/>
    <w:rPr>
      <w:color w:val="605E5C"/>
      <w:shd w:val="clear" w:color="auto" w:fill="E1DFDD"/>
    </w:rPr>
  </w:style>
  <w:style w:type="paragraph" w:customStyle="1" w:styleId="paragraph">
    <w:name w:val="paragraph"/>
    <w:basedOn w:val="Normal"/>
    <w:rsid w:val="00FD6B89"/>
    <w:pPr>
      <w:spacing w:before="100" w:beforeAutospacing="1" w:after="100" w:afterAutospacing="1"/>
    </w:pPr>
  </w:style>
  <w:style w:type="character" w:customStyle="1" w:styleId="findhit">
    <w:name w:val="findhit"/>
    <w:basedOn w:val="DefaultParagraphFont"/>
    <w:rsid w:val="00FD6B89"/>
  </w:style>
  <w:style w:type="character" w:customStyle="1" w:styleId="eop">
    <w:name w:val="eop"/>
    <w:basedOn w:val="DefaultParagraphFont"/>
    <w:rsid w:val="00FD6B89"/>
  </w:style>
  <w:style w:type="paragraph" w:customStyle="1" w:styleId="Pagrindinis">
    <w:name w:val="Pagrindinis"/>
    <w:basedOn w:val="ListParagraph"/>
    <w:link w:val="PagrindinisChar"/>
    <w:qFormat/>
    <w:rsid w:val="00057AAA"/>
    <w:pPr>
      <w:numPr>
        <w:numId w:val="3"/>
      </w:numPr>
      <w:tabs>
        <w:tab w:val="left" w:pos="360"/>
        <w:tab w:val="left" w:pos="1080"/>
      </w:tabs>
      <w:spacing w:after="0" w:line="240" w:lineRule="auto"/>
      <w:ind w:hanging="360"/>
      <w:jc w:val="both"/>
    </w:pPr>
    <w:rPr>
      <w:rFonts w:eastAsiaTheme="minorHAnsi"/>
      <w:b/>
      <w:color w:val="000000" w:themeColor="text1"/>
      <w:szCs w:val="24"/>
      <w:shd w:val="clear" w:color="auto" w:fill="FFFFFF"/>
      <w:lang w:val="en-GB"/>
    </w:rPr>
  </w:style>
  <w:style w:type="character" w:customStyle="1" w:styleId="PagrindinisChar">
    <w:name w:val="Pagrindinis Char"/>
    <w:basedOn w:val="DefaultParagraphFont"/>
    <w:link w:val="Pagrindinis"/>
    <w:rsid w:val="00057AAA"/>
    <w:rPr>
      <w:rFonts w:ascii="Times New Roman" w:hAnsi="Times New Roman" w:cs="Times New Roman"/>
      <w:b/>
      <w:color w:val="000000" w:themeColor="text1"/>
      <w:sz w:val="24"/>
      <w:szCs w:val="24"/>
      <w:lang w:val="en-GB"/>
    </w:rPr>
  </w:style>
  <w:style w:type="character" w:customStyle="1" w:styleId="plaintext">
    <w:name w:val="plain_text"/>
    <w:basedOn w:val="DefaultParagraphFont"/>
    <w:rsid w:val="00057AAA"/>
  </w:style>
  <w:style w:type="character" w:customStyle="1" w:styleId="BodyTextIndent2Char1">
    <w:name w:val="Body Text Indent 2 Char1"/>
    <w:basedOn w:val="DefaultParagraphFont"/>
    <w:uiPriority w:val="99"/>
    <w:semiHidden/>
    <w:locked/>
    <w:rsid w:val="00057AAA"/>
    <w:rPr>
      <w:rFonts w:ascii="Calibri" w:hAnsi="Calibri" w:cs="Times New Roman"/>
      <w:lang w:val="lt-LT" w:eastAsia="en-US"/>
    </w:rPr>
  </w:style>
  <w:style w:type="paragraph" w:customStyle="1" w:styleId="heading-1">
    <w:name w:val="heading-1"/>
    <w:basedOn w:val="Normal"/>
    <w:rsid w:val="00057AAA"/>
    <w:pPr>
      <w:spacing w:before="100" w:beforeAutospacing="1" w:after="100" w:afterAutospacing="1"/>
    </w:pPr>
    <w:rPr>
      <w:rFonts w:eastAsiaTheme="minorEastAsia"/>
    </w:rPr>
  </w:style>
  <w:style w:type="paragraph" w:customStyle="1" w:styleId="Normal1">
    <w:name w:val="Normal1"/>
    <w:basedOn w:val="Normal"/>
    <w:rsid w:val="00E46363"/>
    <w:pPr>
      <w:spacing w:before="100" w:beforeAutospacing="1" w:after="100" w:afterAutospacing="1"/>
    </w:pPr>
    <w:rPr>
      <w:rFonts w:eastAsiaTheme="minorEastAsia"/>
    </w:rPr>
  </w:style>
  <w:style w:type="paragraph" w:customStyle="1" w:styleId="body-text-indent-2">
    <w:name w:val="body-text-indent-2"/>
    <w:basedOn w:val="Normal"/>
    <w:rsid w:val="00E46363"/>
    <w:pPr>
      <w:spacing w:before="100" w:beforeAutospacing="1" w:after="100" w:afterAutospacing="1"/>
    </w:pPr>
    <w:rPr>
      <w:rFonts w:eastAsiaTheme="minorEastAsia"/>
    </w:rPr>
  </w:style>
  <w:style w:type="character" w:customStyle="1" w:styleId="Hyperlink1">
    <w:name w:val="Hyperlink1"/>
    <w:basedOn w:val="DefaultParagraphFont"/>
    <w:rsid w:val="00E46363"/>
  </w:style>
  <w:style w:type="character" w:customStyle="1" w:styleId="default-paragraph-font">
    <w:name w:val="default-paragraph-font"/>
    <w:basedOn w:val="DefaultParagraphFont"/>
    <w:rsid w:val="00E46363"/>
  </w:style>
  <w:style w:type="character" w:customStyle="1" w:styleId="Bodytext8MSReferenceSansSerifNotItalic">
    <w:name w:val="Body text (8) + MS Reference Sans Serif;Not Italic"/>
    <w:basedOn w:val="DefaultParagraphFont"/>
    <w:rsid w:val="00887FAE"/>
    <w:rPr>
      <w:rFonts w:ascii="MS Reference Sans Serif" w:eastAsia="MS Reference Sans Serif" w:hAnsi="MS Reference Sans Serif" w:cs="MS Reference Sans Serif"/>
      <w:i/>
      <w:iCs/>
      <w:color w:val="000000"/>
      <w:spacing w:val="0"/>
      <w:w w:val="100"/>
      <w:position w:val="0"/>
      <w:sz w:val="19"/>
      <w:szCs w:val="19"/>
      <w:shd w:val="clear" w:color="auto" w:fill="FFFFFF"/>
      <w:lang w:val="lt-LT" w:eastAsia="lt-LT" w:bidi="lt-LT"/>
    </w:rPr>
  </w:style>
  <w:style w:type="character" w:customStyle="1" w:styleId="Bodytext2Italic">
    <w:name w:val="Body text (2) + Italic"/>
    <w:basedOn w:val="DefaultParagraphFont"/>
    <w:rsid w:val="00887FAE"/>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Neapdorotaspaminjimas4">
    <w:name w:val="Neapdorotas paminėjimas4"/>
    <w:basedOn w:val="DefaultParagraphFont"/>
    <w:uiPriority w:val="99"/>
    <w:semiHidden/>
    <w:unhideWhenUsed/>
    <w:rsid w:val="00EF2ED1"/>
    <w:rPr>
      <w:color w:val="605E5C"/>
      <w:shd w:val="clear" w:color="auto" w:fill="E1DFDD"/>
    </w:rPr>
  </w:style>
  <w:style w:type="character" w:styleId="UnresolvedMention">
    <w:name w:val="Unresolved Mention"/>
    <w:basedOn w:val="DefaultParagraphFont"/>
    <w:uiPriority w:val="99"/>
    <w:semiHidden/>
    <w:unhideWhenUsed/>
    <w:rsid w:val="00E64538"/>
    <w:rPr>
      <w:color w:val="605E5C"/>
      <w:shd w:val="clear" w:color="auto" w:fill="E1DFDD"/>
    </w:rPr>
  </w:style>
  <w:style w:type="paragraph" w:styleId="Revision">
    <w:name w:val="Revision"/>
    <w:hidden/>
    <w:uiPriority w:val="99"/>
    <w:semiHidden/>
    <w:rsid w:val="00CC249E"/>
    <w:pPr>
      <w:spacing w:after="0" w:line="240" w:lineRule="auto"/>
    </w:pPr>
    <w:rPr>
      <w:rFonts w:ascii="Times New Roman" w:eastAsia="Times New Roman" w:hAnsi="Times New Roman" w:cs="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25179314">
      <w:bodyDiv w:val="1"/>
      <w:marLeft w:val="0"/>
      <w:marRight w:val="0"/>
      <w:marTop w:val="0"/>
      <w:marBottom w:val="0"/>
      <w:divBdr>
        <w:top w:val="none" w:sz="0" w:space="0" w:color="auto"/>
        <w:left w:val="none" w:sz="0" w:space="0" w:color="auto"/>
        <w:bottom w:val="none" w:sz="0" w:space="0" w:color="auto"/>
        <w:right w:val="none" w:sz="0" w:space="0" w:color="auto"/>
      </w:divBdr>
    </w:div>
    <w:div w:id="36391687">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1894949">
      <w:bodyDiv w:val="1"/>
      <w:marLeft w:val="0"/>
      <w:marRight w:val="0"/>
      <w:marTop w:val="0"/>
      <w:marBottom w:val="0"/>
      <w:divBdr>
        <w:top w:val="none" w:sz="0" w:space="0" w:color="auto"/>
        <w:left w:val="none" w:sz="0" w:space="0" w:color="auto"/>
        <w:bottom w:val="none" w:sz="0" w:space="0" w:color="auto"/>
        <w:right w:val="none" w:sz="0" w:space="0" w:color="auto"/>
      </w:divBdr>
    </w:div>
    <w:div w:id="75249446">
      <w:bodyDiv w:val="1"/>
      <w:marLeft w:val="0"/>
      <w:marRight w:val="0"/>
      <w:marTop w:val="0"/>
      <w:marBottom w:val="0"/>
      <w:divBdr>
        <w:top w:val="none" w:sz="0" w:space="0" w:color="auto"/>
        <w:left w:val="none" w:sz="0" w:space="0" w:color="auto"/>
        <w:bottom w:val="none" w:sz="0" w:space="0" w:color="auto"/>
        <w:right w:val="none" w:sz="0" w:space="0" w:color="auto"/>
      </w:divBdr>
    </w:div>
    <w:div w:id="76289486">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4466894">
      <w:bodyDiv w:val="1"/>
      <w:marLeft w:val="0"/>
      <w:marRight w:val="0"/>
      <w:marTop w:val="0"/>
      <w:marBottom w:val="0"/>
      <w:divBdr>
        <w:top w:val="none" w:sz="0" w:space="0" w:color="auto"/>
        <w:left w:val="none" w:sz="0" w:space="0" w:color="auto"/>
        <w:bottom w:val="none" w:sz="0" w:space="0" w:color="auto"/>
        <w:right w:val="none" w:sz="0" w:space="0" w:color="auto"/>
      </w:divBdr>
    </w:div>
    <w:div w:id="106655836">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656">
      <w:bodyDiv w:val="1"/>
      <w:marLeft w:val="0"/>
      <w:marRight w:val="0"/>
      <w:marTop w:val="0"/>
      <w:marBottom w:val="0"/>
      <w:divBdr>
        <w:top w:val="none" w:sz="0" w:space="0" w:color="auto"/>
        <w:left w:val="none" w:sz="0" w:space="0" w:color="auto"/>
        <w:bottom w:val="none" w:sz="0" w:space="0" w:color="auto"/>
        <w:right w:val="none" w:sz="0" w:space="0" w:color="auto"/>
      </w:divBdr>
    </w:div>
    <w:div w:id="112329805">
      <w:bodyDiv w:val="1"/>
      <w:marLeft w:val="0"/>
      <w:marRight w:val="0"/>
      <w:marTop w:val="0"/>
      <w:marBottom w:val="0"/>
      <w:divBdr>
        <w:top w:val="none" w:sz="0" w:space="0" w:color="auto"/>
        <w:left w:val="none" w:sz="0" w:space="0" w:color="auto"/>
        <w:bottom w:val="none" w:sz="0" w:space="0" w:color="auto"/>
        <w:right w:val="none" w:sz="0" w:space="0" w:color="auto"/>
      </w:divBdr>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26775741">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0368">
      <w:bodyDiv w:val="1"/>
      <w:marLeft w:val="0"/>
      <w:marRight w:val="0"/>
      <w:marTop w:val="0"/>
      <w:marBottom w:val="0"/>
      <w:divBdr>
        <w:top w:val="none" w:sz="0" w:space="0" w:color="auto"/>
        <w:left w:val="none" w:sz="0" w:space="0" w:color="auto"/>
        <w:bottom w:val="none" w:sz="0" w:space="0" w:color="auto"/>
        <w:right w:val="none" w:sz="0" w:space="0" w:color="auto"/>
      </w:divBdr>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5271084">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0998239">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17056121">
      <w:bodyDiv w:val="1"/>
      <w:marLeft w:val="0"/>
      <w:marRight w:val="0"/>
      <w:marTop w:val="0"/>
      <w:marBottom w:val="0"/>
      <w:divBdr>
        <w:top w:val="none" w:sz="0" w:space="0" w:color="auto"/>
        <w:left w:val="none" w:sz="0" w:space="0" w:color="auto"/>
        <w:bottom w:val="none" w:sz="0" w:space="0" w:color="auto"/>
        <w:right w:val="none" w:sz="0" w:space="0" w:color="auto"/>
      </w:divBdr>
    </w:div>
    <w:div w:id="232158704">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6156365">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0504867">
      <w:bodyDiv w:val="1"/>
      <w:marLeft w:val="0"/>
      <w:marRight w:val="0"/>
      <w:marTop w:val="0"/>
      <w:marBottom w:val="0"/>
      <w:divBdr>
        <w:top w:val="none" w:sz="0" w:space="0" w:color="auto"/>
        <w:left w:val="none" w:sz="0" w:space="0" w:color="auto"/>
        <w:bottom w:val="none" w:sz="0" w:space="0" w:color="auto"/>
        <w:right w:val="none" w:sz="0" w:space="0" w:color="auto"/>
      </w:divBdr>
    </w:div>
    <w:div w:id="256328547">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67003668">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82657013">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106721">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1254923">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38392993">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55160457">
      <w:bodyDiv w:val="1"/>
      <w:marLeft w:val="0"/>
      <w:marRight w:val="0"/>
      <w:marTop w:val="0"/>
      <w:marBottom w:val="0"/>
      <w:divBdr>
        <w:top w:val="none" w:sz="0" w:space="0" w:color="auto"/>
        <w:left w:val="none" w:sz="0" w:space="0" w:color="auto"/>
        <w:bottom w:val="none" w:sz="0" w:space="0" w:color="auto"/>
        <w:right w:val="none" w:sz="0" w:space="0" w:color="auto"/>
      </w:divBdr>
    </w:div>
    <w:div w:id="357706183">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4331494">
      <w:bodyDiv w:val="1"/>
      <w:marLeft w:val="0"/>
      <w:marRight w:val="0"/>
      <w:marTop w:val="0"/>
      <w:marBottom w:val="0"/>
      <w:divBdr>
        <w:top w:val="none" w:sz="0" w:space="0" w:color="auto"/>
        <w:left w:val="none" w:sz="0" w:space="0" w:color="auto"/>
        <w:bottom w:val="none" w:sz="0" w:space="0" w:color="auto"/>
        <w:right w:val="none" w:sz="0" w:space="0" w:color="auto"/>
      </w:divBdr>
      <w:divsChild>
        <w:div w:id="1815171205">
          <w:marLeft w:val="0"/>
          <w:marRight w:val="0"/>
          <w:marTop w:val="0"/>
          <w:marBottom w:val="0"/>
          <w:divBdr>
            <w:top w:val="none" w:sz="0" w:space="0" w:color="auto"/>
            <w:left w:val="none" w:sz="0" w:space="0" w:color="auto"/>
            <w:bottom w:val="none" w:sz="0" w:space="0" w:color="auto"/>
            <w:right w:val="none" w:sz="0" w:space="0" w:color="auto"/>
          </w:divBdr>
        </w:div>
        <w:div w:id="465515941">
          <w:marLeft w:val="0"/>
          <w:marRight w:val="0"/>
          <w:marTop w:val="0"/>
          <w:marBottom w:val="0"/>
          <w:divBdr>
            <w:top w:val="none" w:sz="0" w:space="0" w:color="auto"/>
            <w:left w:val="none" w:sz="0" w:space="0" w:color="auto"/>
            <w:bottom w:val="none" w:sz="0" w:space="0" w:color="auto"/>
            <w:right w:val="none" w:sz="0" w:space="0" w:color="auto"/>
          </w:divBdr>
        </w:div>
      </w:divsChild>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039831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0926913">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3070731">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15783062">
      <w:bodyDiv w:val="1"/>
      <w:marLeft w:val="0"/>
      <w:marRight w:val="0"/>
      <w:marTop w:val="0"/>
      <w:marBottom w:val="0"/>
      <w:divBdr>
        <w:top w:val="none" w:sz="0" w:space="0" w:color="auto"/>
        <w:left w:val="none" w:sz="0" w:space="0" w:color="auto"/>
        <w:bottom w:val="none" w:sz="0" w:space="0" w:color="auto"/>
        <w:right w:val="none" w:sz="0" w:space="0" w:color="auto"/>
      </w:divBdr>
    </w:div>
    <w:div w:id="416555560">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53646181">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3038950">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87402573">
      <w:bodyDiv w:val="1"/>
      <w:marLeft w:val="0"/>
      <w:marRight w:val="0"/>
      <w:marTop w:val="0"/>
      <w:marBottom w:val="0"/>
      <w:divBdr>
        <w:top w:val="none" w:sz="0" w:space="0" w:color="auto"/>
        <w:left w:val="none" w:sz="0" w:space="0" w:color="auto"/>
        <w:bottom w:val="none" w:sz="0" w:space="0" w:color="auto"/>
        <w:right w:val="none" w:sz="0" w:space="0" w:color="auto"/>
      </w:divBdr>
      <w:divsChild>
        <w:div w:id="650063282">
          <w:marLeft w:val="0"/>
          <w:marRight w:val="0"/>
          <w:marTop w:val="0"/>
          <w:marBottom w:val="0"/>
          <w:divBdr>
            <w:top w:val="none" w:sz="0" w:space="0" w:color="auto"/>
            <w:left w:val="none" w:sz="0" w:space="0" w:color="auto"/>
            <w:bottom w:val="none" w:sz="0" w:space="0" w:color="auto"/>
            <w:right w:val="none" w:sz="0" w:space="0" w:color="auto"/>
          </w:divBdr>
        </w:div>
        <w:div w:id="287056233">
          <w:marLeft w:val="0"/>
          <w:marRight w:val="0"/>
          <w:marTop w:val="0"/>
          <w:marBottom w:val="0"/>
          <w:divBdr>
            <w:top w:val="none" w:sz="0" w:space="0" w:color="auto"/>
            <w:left w:val="none" w:sz="0" w:space="0" w:color="auto"/>
            <w:bottom w:val="none" w:sz="0" w:space="0" w:color="auto"/>
            <w:right w:val="none" w:sz="0" w:space="0" w:color="auto"/>
          </w:divBdr>
        </w:div>
        <w:div w:id="1461459447">
          <w:marLeft w:val="0"/>
          <w:marRight w:val="0"/>
          <w:marTop w:val="0"/>
          <w:marBottom w:val="0"/>
          <w:divBdr>
            <w:top w:val="none" w:sz="0" w:space="0" w:color="auto"/>
            <w:left w:val="none" w:sz="0" w:space="0" w:color="auto"/>
            <w:bottom w:val="none" w:sz="0" w:space="0" w:color="auto"/>
            <w:right w:val="none" w:sz="0" w:space="0" w:color="auto"/>
          </w:divBdr>
        </w:div>
      </w:divsChild>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05022132">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35315806">
      <w:bodyDiv w:val="1"/>
      <w:marLeft w:val="0"/>
      <w:marRight w:val="0"/>
      <w:marTop w:val="0"/>
      <w:marBottom w:val="0"/>
      <w:divBdr>
        <w:top w:val="none" w:sz="0" w:space="0" w:color="auto"/>
        <w:left w:val="none" w:sz="0" w:space="0" w:color="auto"/>
        <w:bottom w:val="none" w:sz="0" w:space="0" w:color="auto"/>
        <w:right w:val="none" w:sz="0" w:space="0" w:color="auto"/>
      </w:divBdr>
    </w:div>
    <w:div w:id="539320556">
      <w:bodyDiv w:val="1"/>
      <w:marLeft w:val="0"/>
      <w:marRight w:val="0"/>
      <w:marTop w:val="0"/>
      <w:marBottom w:val="0"/>
      <w:divBdr>
        <w:top w:val="none" w:sz="0" w:space="0" w:color="auto"/>
        <w:left w:val="none" w:sz="0" w:space="0" w:color="auto"/>
        <w:bottom w:val="none" w:sz="0" w:space="0" w:color="auto"/>
        <w:right w:val="none" w:sz="0" w:space="0" w:color="auto"/>
      </w:divBdr>
    </w:div>
    <w:div w:id="545529136">
      <w:bodyDiv w:val="1"/>
      <w:marLeft w:val="0"/>
      <w:marRight w:val="0"/>
      <w:marTop w:val="0"/>
      <w:marBottom w:val="0"/>
      <w:divBdr>
        <w:top w:val="none" w:sz="0" w:space="0" w:color="auto"/>
        <w:left w:val="none" w:sz="0" w:space="0" w:color="auto"/>
        <w:bottom w:val="none" w:sz="0" w:space="0" w:color="auto"/>
        <w:right w:val="none" w:sz="0" w:space="0" w:color="auto"/>
      </w:divBdr>
    </w:div>
    <w:div w:id="549607719">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58371331">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69119752">
      <w:bodyDiv w:val="1"/>
      <w:marLeft w:val="0"/>
      <w:marRight w:val="0"/>
      <w:marTop w:val="0"/>
      <w:marBottom w:val="0"/>
      <w:divBdr>
        <w:top w:val="none" w:sz="0" w:space="0" w:color="auto"/>
        <w:left w:val="none" w:sz="0" w:space="0" w:color="auto"/>
        <w:bottom w:val="none" w:sz="0" w:space="0" w:color="auto"/>
        <w:right w:val="none" w:sz="0" w:space="0" w:color="auto"/>
      </w:divBdr>
    </w:div>
    <w:div w:id="572198307">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74360074">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1138764">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48553346">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3514208">
      <w:bodyDiv w:val="1"/>
      <w:marLeft w:val="0"/>
      <w:marRight w:val="0"/>
      <w:marTop w:val="0"/>
      <w:marBottom w:val="0"/>
      <w:divBdr>
        <w:top w:val="none" w:sz="0" w:space="0" w:color="auto"/>
        <w:left w:val="none" w:sz="0" w:space="0" w:color="auto"/>
        <w:bottom w:val="none" w:sz="0" w:space="0" w:color="auto"/>
        <w:right w:val="none" w:sz="0" w:space="0" w:color="auto"/>
      </w:divBdr>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79351638">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8860344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04018078">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5027243">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1584841">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42219204">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58060322">
      <w:bodyDiv w:val="1"/>
      <w:marLeft w:val="0"/>
      <w:marRight w:val="0"/>
      <w:marTop w:val="0"/>
      <w:marBottom w:val="0"/>
      <w:divBdr>
        <w:top w:val="none" w:sz="0" w:space="0" w:color="auto"/>
        <w:left w:val="none" w:sz="0" w:space="0" w:color="auto"/>
        <w:bottom w:val="none" w:sz="0" w:space="0" w:color="auto"/>
        <w:right w:val="none" w:sz="0" w:space="0" w:color="auto"/>
      </w:divBdr>
    </w:div>
    <w:div w:id="763191672">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793257656">
      <w:bodyDiv w:val="1"/>
      <w:marLeft w:val="0"/>
      <w:marRight w:val="0"/>
      <w:marTop w:val="0"/>
      <w:marBottom w:val="0"/>
      <w:divBdr>
        <w:top w:val="none" w:sz="0" w:space="0" w:color="auto"/>
        <w:left w:val="none" w:sz="0" w:space="0" w:color="auto"/>
        <w:bottom w:val="none" w:sz="0" w:space="0" w:color="auto"/>
        <w:right w:val="none" w:sz="0" w:space="0" w:color="auto"/>
      </w:divBdr>
    </w:div>
    <w:div w:id="794325667">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42010284">
      <w:bodyDiv w:val="1"/>
      <w:marLeft w:val="0"/>
      <w:marRight w:val="0"/>
      <w:marTop w:val="0"/>
      <w:marBottom w:val="0"/>
      <w:divBdr>
        <w:top w:val="none" w:sz="0" w:space="0" w:color="auto"/>
        <w:left w:val="none" w:sz="0" w:space="0" w:color="auto"/>
        <w:bottom w:val="none" w:sz="0" w:space="0" w:color="auto"/>
        <w:right w:val="none" w:sz="0" w:space="0" w:color="auto"/>
      </w:divBdr>
    </w:div>
    <w:div w:id="843280191">
      <w:bodyDiv w:val="1"/>
      <w:marLeft w:val="0"/>
      <w:marRight w:val="0"/>
      <w:marTop w:val="0"/>
      <w:marBottom w:val="0"/>
      <w:divBdr>
        <w:top w:val="none" w:sz="0" w:space="0" w:color="auto"/>
        <w:left w:val="none" w:sz="0" w:space="0" w:color="auto"/>
        <w:bottom w:val="none" w:sz="0" w:space="0" w:color="auto"/>
        <w:right w:val="none" w:sz="0" w:space="0" w:color="auto"/>
      </w:divBdr>
    </w:div>
    <w:div w:id="853610079">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60701244">
      <w:bodyDiv w:val="1"/>
      <w:marLeft w:val="0"/>
      <w:marRight w:val="0"/>
      <w:marTop w:val="0"/>
      <w:marBottom w:val="0"/>
      <w:divBdr>
        <w:top w:val="none" w:sz="0" w:space="0" w:color="auto"/>
        <w:left w:val="none" w:sz="0" w:space="0" w:color="auto"/>
        <w:bottom w:val="none" w:sz="0" w:space="0" w:color="auto"/>
        <w:right w:val="none" w:sz="0" w:space="0" w:color="auto"/>
      </w:divBdr>
    </w:div>
    <w:div w:id="865868600">
      <w:bodyDiv w:val="1"/>
      <w:marLeft w:val="0"/>
      <w:marRight w:val="0"/>
      <w:marTop w:val="0"/>
      <w:marBottom w:val="0"/>
      <w:divBdr>
        <w:top w:val="none" w:sz="0" w:space="0" w:color="auto"/>
        <w:left w:val="none" w:sz="0" w:space="0" w:color="auto"/>
        <w:bottom w:val="none" w:sz="0" w:space="0" w:color="auto"/>
        <w:right w:val="none" w:sz="0" w:space="0" w:color="auto"/>
      </w:divBdr>
    </w:div>
    <w:div w:id="878514078">
      <w:bodyDiv w:val="1"/>
      <w:marLeft w:val="0"/>
      <w:marRight w:val="0"/>
      <w:marTop w:val="0"/>
      <w:marBottom w:val="0"/>
      <w:divBdr>
        <w:top w:val="none" w:sz="0" w:space="0" w:color="auto"/>
        <w:left w:val="none" w:sz="0" w:space="0" w:color="auto"/>
        <w:bottom w:val="none" w:sz="0" w:space="0" w:color="auto"/>
        <w:right w:val="none" w:sz="0" w:space="0" w:color="auto"/>
      </w:divBdr>
    </w:div>
    <w:div w:id="880821420">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1259831">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2719879">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2103214">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28851090">
      <w:bodyDiv w:val="1"/>
      <w:marLeft w:val="0"/>
      <w:marRight w:val="0"/>
      <w:marTop w:val="0"/>
      <w:marBottom w:val="0"/>
      <w:divBdr>
        <w:top w:val="none" w:sz="0" w:space="0" w:color="auto"/>
        <w:left w:val="none" w:sz="0" w:space="0" w:color="auto"/>
        <w:bottom w:val="none" w:sz="0" w:space="0" w:color="auto"/>
        <w:right w:val="none" w:sz="0" w:space="0" w:color="auto"/>
      </w:divBdr>
    </w:div>
    <w:div w:id="932978507">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0744974">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6370834">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67198721">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80694304">
      <w:bodyDiv w:val="1"/>
      <w:marLeft w:val="0"/>
      <w:marRight w:val="0"/>
      <w:marTop w:val="0"/>
      <w:marBottom w:val="0"/>
      <w:divBdr>
        <w:top w:val="none" w:sz="0" w:space="0" w:color="auto"/>
        <w:left w:val="none" w:sz="0" w:space="0" w:color="auto"/>
        <w:bottom w:val="none" w:sz="0" w:space="0" w:color="auto"/>
        <w:right w:val="none" w:sz="0" w:space="0" w:color="auto"/>
      </w:divBdr>
    </w:div>
    <w:div w:id="982851659">
      <w:bodyDiv w:val="1"/>
      <w:marLeft w:val="0"/>
      <w:marRight w:val="0"/>
      <w:marTop w:val="0"/>
      <w:marBottom w:val="0"/>
      <w:divBdr>
        <w:top w:val="none" w:sz="0" w:space="0" w:color="auto"/>
        <w:left w:val="none" w:sz="0" w:space="0" w:color="auto"/>
        <w:bottom w:val="none" w:sz="0" w:space="0" w:color="auto"/>
        <w:right w:val="none" w:sz="0" w:space="0" w:color="auto"/>
      </w:divBdr>
    </w:div>
    <w:div w:id="987131885">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0430172">
      <w:bodyDiv w:val="1"/>
      <w:marLeft w:val="0"/>
      <w:marRight w:val="0"/>
      <w:marTop w:val="0"/>
      <w:marBottom w:val="0"/>
      <w:divBdr>
        <w:top w:val="none" w:sz="0" w:space="0" w:color="auto"/>
        <w:left w:val="none" w:sz="0" w:space="0" w:color="auto"/>
        <w:bottom w:val="none" w:sz="0" w:space="0" w:color="auto"/>
        <w:right w:val="none" w:sz="0" w:space="0" w:color="auto"/>
      </w:divBdr>
    </w:div>
    <w:div w:id="1005279490">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0033013">
      <w:bodyDiv w:val="1"/>
      <w:marLeft w:val="0"/>
      <w:marRight w:val="0"/>
      <w:marTop w:val="0"/>
      <w:marBottom w:val="0"/>
      <w:divBdr>
        <w:top w:val="none" w:sz="0" w:space="0" w:color="auto"/>
        <w:left w:val="none" w:sz="0" w:space="0" w:color="auto"/>
        <w:bottom w:val="none" w:sz="0" w:space="0" w:color="auto"/>
        <w:right w:val="none" w:sz="0" w:space="0" w:color="auto"/>
      </w:divBdr>
    </w:div>
    <w:div w:id="1031491181">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507128">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5063353">
      <w:bodyDiv w:val="1"/>
      <w:marLeft w:val="0"/>
      <w:marRight w:val="0"/>
      <w:marTop w:val="0"/>
      <w:marBottom w:val="0"/>
      <w:divBdr>
        <w:top w:val="none" w:sz="0" w:space="0" w:color="auto"/>
        <w:left w:val="none" w:sz="0" w:space="0" w:color="auto"/>
        <w:bottom w:val="none" w:sz="0" w:space="0" w:color="auto"/>
        <w:right w:val="none" w:sz="0" w:space="0" w:color="auto"/>
      </w:divBdr>
      <w:divsChild>
        <w:div w:id="1121538197">
          <w:marLeft w:val="0"/>
          <w:marRight w:val="0"/>
          <w:marTop w:val="0"/>
          <w:marBottom w:val="0"/>
          <w:divBdr>
            <w:top w:val="none" w:sz="0" w:space="0" w:color="auto"/>
            <w:left w:val="none" w:sz="0" w:space="0" w:color="auto"/>
            <w:bottom w:val="none" w:sz="0" w:space="0" w:color="auto"/>
            <w:right w:val="none" w:sz="0" w:space="0" w:color="auto"/>
          </w:divBdr>
        </w:div>
        <w:div w:id="364452631">
          <w:marLeft w:val="0"/>
          <w:marRight w:val="0"/>
          <w:marTop w:val="0"/>
          <w:marBottom w:val="0"/>
          <w:divBdr>
            <w:top w:val="none" w:sz="0" w:space="0" w:color="auto"/>
            <w:left w:val="none" w:sz="0" w:space="0" w:color="auto"/>
            <w:bottom w:val="none" w:sz="0" w:space="0" w:color="auto"/>
            <w:right w:val="none" w:sz="0" w:space="0" w:color="auto"/>
          </w:divBdr>
        </w:div>
        <w:div w:id="1110660965">
          <w:marLeft w:val="0"/>
          <w:marRight w:val="0"/>
          <w:marTop w:val="0"/>
          <w:marBottom w:val="0"/>
          <w:divBdr>
            <w:top w:val="none" w:sz="0" w:space="0" w:color="auto"/>
            <w:left w:val="none" w:sz="0" w:space="0" w:color="auto"/>
            <w:bottom w:val="none" w:sz="0" w:space="0" w:color="auto"/>
            <w:right w:val="none" w:sz="0" w:space="0" w:color="auto"/>
          </w:divBdr>
        </w:div>
        <w:div w:id="1391615181">
          <w:marLeft w:val="0"/>
          <w:marRight w:val="0"/>
          <w:marTop w:val="0"/>
          <w:marBottom w:val="0"/>
          <w:divBdr>
            <w:top w:val="none" w:sz="0" w:space="0" w:color="auto"/>
            <w:left w:val="none" w:sz="0" w:space="0" w:color="auto"/>
            <w:bottom w:val="none" w:sz="0" w:space="0" w:color="auto"/>
            <w:right w:val="none" w:sz="0" w:space="0" w:color="auto"/>
          </w:divBdr>
        </w:div>
        <w:div w:id="1247688289">
          <w:marLeft w:val="0"/>
          <w:marRight w:val="0"/>
          <w:marTop w:val="0"/>
          <w:marBottom w:val="0"/>
          <w:divBdr>
            <w:top w:val="none" w:sz="0" w:space="0" w:color="auto"/>
            <w:left w:val="none" w:sz="0" w:space="0" w:color="auto"/>
            <w:bottom w:val="none" w:sz="0" w:space="0" w:color="auto"/>
            <w:right w:val="none" w:sz="0" w:space="0" w:color="auto"/>
          </w:divBdr>
        </w:div>
        <w:div w:id="1139223510">
          <w:marLeft w:val="0"/>
          <w:marRight w:val="0"/>
          <w:marTop w:val="0"/>
          <w:marBottom w:val="0"/>
          <w:divBdr>
            <w:top w:val="none" w:sz="0" w:space="0" w:color="auto"/>
            <w:left w:val="none" w:sz="0" w:space="0" w:color="auto"/>
            <w:bottom w:val="none" w:sz="0" w:space="0" w:color="auto"/>
            <w:right w:val="none" w:sz="0" w:space="0" w:color="auto"/>
          </w:divBdr>
        </w:div>
      </w:divsChild>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59282276">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4740419">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096512458">
      <w:bodyDiv w:val="1"/>
      <w:marLeft w:val="0"/>
      <w:marRight w:val="0"/>
      <w:marTop w:val="0"/>
      <w:marBottom w:val="0"/>
      <w:divBdr>
        <w:top w:val="none" w:sz="0" w:space="0" w:color="auto"/>
        <w:left w:val="none" w:sz="0" w:space="0" w:color="auto"/>
        <w:bottom w:val="none" w:sz="0" w:space="0" w:color="auto"/>
        <w:right w:val="none" w:sz="0" w:space="0" w:color="auto"/>
      </w:divBdr>
    </w:div>
    <w:div w:id="1098719545">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09080107">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2795950">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184709867">
      <w:bodyDiv w:val="1"/>
      <w:marLeft w:val="0"/>
      <w:marRight w:val="0"/>
      <w:marTop w:val="0"/>
      <w:marBottom w:val="0"/>
      <w:divBdr>
        <w:top w:val="none" w:sz="0" w:space="0" w:color="auto"/>
        <w:left w:val="none" w:sz="0" w:space="0" w:color="auto"/>
        <w:bottom w:val="none" w:sz="0" w:space="0" w:color="auto"/>
        <w:right w:val="none" w:sz="0" w:space="0" w:color="auto"/>
      </w:divBdr>
    </w:div>
    <w:div w:id="1188258423">
      <w:bodyDiv w:val="1"/>
      <w:marLeft w:val="0"/>
      <w:marRight w:val="0"/>
      <w:marTop w:val="0"/>
      <w:marBottom w:val="0"/>
      <w:divBdr>
        <w:top w:val="none" w:sz="0" w:space="0" w:color="auto"/>
        <w:left w:val="none" w:sz="0" w:space="0" w:color="auto"/>
        <w:bottom w:val="none" w:sz="0" w:space="0" w:color="auto"/>
        <w:right w:val="none" w:sz="0" w:space="0" w:color="auto"/>
      </w:divBdr>
    </w:div>
    <w:div w:id="1194804119">
      <w:bodyDiv w:val="1"/>
      <w:marLeft w:val="0"/>
      <w:marRight w:val="0"/>
      <w:marTop w:val="0"/>
      <w:marBottom w:val="0"/>
      <w:divBdr>
        <w:top w:val="none" w:sz="0" w:space="0" w:color="auto"/>
        <w:left w:val="none" w:sz="0" w:space="0" w:color="auto"/>
        <w:bottom w:val="none" w:sz="0" w:space="0" w:color="auto"/>
        <w:right w:val="none" w:sz="0" w:space="0" w:color="auto"/>
      </w:divBdr>
      <w:divsChild>
        <w:div w:id="547376040">
          <w:marLeft w:val="0"/>
          <w:marRight w:val="0"/>
          <w:marTop w:val="0"/>
          <w:marBottom w:val="0"/>
          <w:divBdr>
            <w:top w:val="none" w:sz="0" w:space="0" w:color="auto"/>
            <w:left w:val="none" w:sz="0" w:space="0" w:color="auto"/>
            <w:bottom w:val="none" w:sz="0" w:space="0" w:color="auto"/>
            <w:right w:val="none" w:sz="0" w:space="0" w:color="auto"/>
          </w:divBdr>
        </w:div>
        <w:div w:id="30351028">
          <w:marLeft w:val="0"/>
          <w:marRight w:val="0"/>
          <w:marTop w:val="0"/>
          <w:marBottom w:val="0"/>
          <w:divBdr>
            <w:top w:val="none" w:sz="0" w:space="0" w:color="auto"/>
            <w:left w:val="none" w:sz="0" w:space="0" w:color="auto"/>
            <w:bottom w:val="none" w:sz="0" w:space="0" w:color="auto"/>
            <w:right w:val="none" w:sz="0" w:space="0" w:color="auto"/>
          </w:divBdr>
        </w:div>
        <w:div w:id="1701198816">
          <w:marLeft w:val="0"/>
          <w:marRight w:val="0"/>
          <w:marTop w:val="0"/>
          <w:marBottom w:val="0"/>
          <w:divBdr>
            <w:top w:val="none" w:sz="0" w:space="0" w:color="auto"/>
            <w:left w:val="none" w:sz="0" w:space="0" w:color="auto"/>
            <w:bottom w:val="none" w:sz="0" w:space="0" w:color="auto"/>
            <w:right w:val="none" w:sz="0" w:space="0" w:color="auto"/>
          </w:divBdr>
        </w:div>
        <w:div w:id="392700046">
          <w:marLeft w:val="0"/>
          <w:marRight w:val="0"/>
          <w:marTop w:val="0"/>
          <w:marBottom w:val="0"/>
          <w:divBdr>
            <w:top w:val="none" w:sz="0" w:space="0" w:color="auto"/>
            <w:left w:val="none" w:sz="0" w:space="0" w:color="auto"/>
            <w:bottom w:val="none" w:sz="0" w:space="0" w:color="auto"/>
            <w:right w:val="none" w:sz="0" w:space="0" w:color="auto"/>
          </w:divBdr>
        </w:div>
        <w:div w:id="1937253925">
          <w:marLeft w:val="0"/>
          <w:marRight w:val="0"/>
          <w:marTop w:val="0"/>
          <w:marBottom w:val="0"/>
          <w:divBdr>
            <w:top w:val="none" w:sz="0" w:space="0" w:color="auto"/>
            <w:left w:val="none" w:sz="0" w:space="0" w:color="auto"/>
            <w:bottom w:val="none" w:sz="0" w:space="0" w:color="auto"/>
            <w:right w:val="none" w:sz="0" w:space="0" w:color="auto"/>
          </w:divBdr>
        </w:div>
        <w:div w:id="1964538938">
          <w:marLeft w:val="0"/>
          <w:marRight w:val="0"/>
          <w:marTop w:val="0"/>
          <w:marBottom w:val="0"/>
          <w:divBdr>
            <w:top w:val="none" w:sz="0" w:space="0" w:color="auto"/>
            <w:left w:val="none" w:sz="0" w:space="0" w:color="auto"/>
            <w:bottom w:val="none" w:sz="0" w:space="0" w:color="auto"/>
            <w:right w:val="none" w:sz="0" w:space="0" w:color="auto"/>
          </w:divBdr>
        </w:div>
        <w:div w:id="2021929122">
          <w:marLeft w:val="0"/>
          <w:marRight w:val="0"/>
          <w:marTop w:val="0"/>
          <w:marBottom w:val="0"/>
          <w:divBdr>
            <w:top w:val="none" w:sz="0" w:space="0" w:color="auto"/>
            <w:left w:val="none" w:sz="0" w:space="0" w:color="auto"/>
            <w:bottom w:val="none" w:sz="0" w:space="0" w:color="auto"/>
            <w:right w:val="none" w:sz="0" w:space="0" w:color="auto"/>
          </w:divBdr>
        </w:div>
        <w:div w:id="1065951893">
          <w:marLeft w:val="0"/>
          <w:marRight w:val="0"/>
          <w:marTop w:val="0"/>
          <w:marBottom w:val="0"/>
          <w:divBdr>
            <w:top w:val="none" w:sz="0" w:space="0" w:color="auto"/>
            <w:left w:val="none" w:sz="0" w:space="0" w:color="auto"/>
            <w:bottom w:val="none" w:sz="0" w:space="0" w:color="auto"/>
            <w:right w:val="none" w:sz="0" w:space="0" w:color="auto"/>
          </w:divBdr>
        </w:div>
      </w:divsChild>
    </w:div>
    <w:div w:id="1195121650">
      <w:bodyDiv w:val="1"/>
      <w:marLeft w:val="0"/>
      <w:marRight w:val="0"/>
      <w:marTop w:val="0"/>
      <w:marBottom w:val="0"/>
      <w:divBdr>
        <w:top w:val="none" w:sz="0" w:space="0" w:color="auto"/>
        <w:left w:val="none" w:sz="0" w:space="0" w:color="auto"/>
        <w:bottom w:val="none" w:sz="0" w:space="0" w:color="auto"/>
        <w:right w:val="none" w:sz="0" w:space="0" w:color="auto"/>
      </w:divBdr>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14466847">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0648822">
      <w:bodyDiv w:val="1"/>
      <w:marLeft w:val="0"/>
      <w:marRight w:val="0"/>
      <w:marTop w:val="0"/>
      <w:marBottom w:val="0"/>
      <w:divBdr>
        <w:top w:val="none" w:sz="0" w:space="0" w:color="auto"/>
        <w:left w:val="none" w:sz="0" w:space="0" w:color="auto"/>
        <w:bottom w:val="none" w:sz="0" w:space="0" w:color="auto"/>
        <w:right w:val="none" w:sz="0" w:space="0" w:color="auto"/>
      </w:divBdr>
    </w:div>
    <w:div w:id="1238007669">
      <w:bodyDiv w:val="1"/>
      <w:marLeft w:val="0"/>
      <w:marRight w:val="0"/>
      <w:marTop w:val="0"/>
      <w:marBottom w:val="0"/>
      <w:divBdr>
        <w:top w:val="none" w:sz="0" w:space="0" w:color="auto"/>
        <w:left w:val="none" w:sz="0" w:space="0" w:color="auto"/>
        <w:bottom w:val="none" w:sz="0" w:space="0" w:color="auto"/>
        <w:right w:val="none" w:sz="0" w:space="0" w:color="auto"/>
      </w:divBdr>
    </w:div>
    <w:div w:id="1239286336">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60528764">
      <w:bodyDiv w:val="1"/>
      <w:marLeft w:val="0"/>
      <w:marRight w:val="0"/>
      <w:marTop w:val="0"/>
      <w:marBottom w:val="0"/>
      <w:divBdr>
        <w:top w:val="none" w:sz="0" w:space="0" w:color="auto"/>
        <w:left w:val="none" w:sz="0" w:space="0" w:color="auto"/>
        <w:bottom w:val="none" w:sz="0" w:space="0" w:color="auto"/>
        <w:right w:val="none" w:sz="0" w:space="0" w:color="auto"/>
      </w:divBdr>
    </w:div>
    <w:div w:id="1262371883">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85118071">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3436547">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0451403">
      <w:bodyDiv w:val="1"/>
      <w:marLeft w:val="0"/>
      <w:marRight w:val="0"/>
      <w:marTop w:val="0"/>
      <w:marBottom w:val="0"/>
      <w:divBdr>
        <w:top w:val="none" w:sz="0" w:space="0" w:color="auto"/>
        <w:left w:val="none" w:sz="0" w:space="0" w:color="auto"/>
        <w:bottom w:val="none" w:sz="0" w:space="0" w:color="auto"/>
        <w:right w:val="none" w:sz="0" w:space="0" w:color="auto"/>
      </w:divBdr>
      <w:divsChild>
        <w:div w:id="2012756761">
          <w:marLeft w:val="0"/>
          <w:marRight w:val="0"/>
          <w:marTop w:val="0"/>
          <w:marBottom w:val="0"/>
          <w:divBdr>
            <w:top w:val="none" w:sz="0" w:space="0" w:color="auto"/>
            <w:left w:val="none" w:sz="0" w:space="0" w:color="auto"/>
            <w:bottom w:val="none" w:sz="0" w:space="0" w:color="auto"/>
            <w:right w:val="none" w:sz="0" w:space="0" w:color="auto"/>
          </w:divBdr>
        </w:div>
      </w:divsChild>
    </w:div>
    <w:div w:id="1303191185">
      <w:bodyDiv w:val="1"/>
      <w:marLeft w:val="0"/>
      <w:marRight w:val="0"/>
      <w:marTop w:val="0"/>
      <w:marBottom w:val="0"/>
      <w:divBdr>
        <w:top w:val="none" w:sz="0" w:space="0" w:color="auto"/>
        <w:left w:val="none" w:sz="0" w:space="0" w:color="auto"/>
        <w:bottom w:val="none" w:sz="0" w:space="0" w:color="auto"/>
        <w:right w:val="none" w:sz="0" w:space="0" w:color="auto"/>
      </w:divBdr>
    </w:div>
    <w:div w:id="1305966682">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16181755">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19068671">
      <w:bodyDiv w:val="1"/>
      <w:marLeft w:val="0"/>
      <w:marRight w:val="0"/>
      <w:marTop w:val="0"/>
      <w:marBottom w:val="0"/>
      <w:divBdr>
        <w:top w:val="none" w:sz="0" w:space="0" w:color="auto"/>
        <w:left w:val="none" w:sz="0" w:space="0" w:color="auto"/>
        <w:bottom w:val="none" w:sz="0" w:space="0" w:color="auto"/>
        <w:right w:val="none" w:sz="0" w:space="0" w:color="auto"/>
      </w:divBdr>
    </w:div>
    <w:div w:id="1327976888">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3650934">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398892175">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05765131">
      <w:bodyDiv w:val="1"/>
      <w:marLeft w:val="0"/>
      <w:marRight w:val="0"/>
      <w:marTop w:val="0"/>
      <w:marBottom w:val="0"/>
      <w:divBdr>
        <w:top w:val="none" w:sz="0" w:space="0" w:color="auto"/>
        <w:left w:val="none" w:sz="0" w:space="0" w:color="auto"/>
        <w:bottom w:val="none" w:sz="0" w:space="0" w:color="auto"/>
        <w:right w:val="none" w:sz="0" w:space="0" w:color="auto"/>
      </w:divBdr>
    </w:div>
    <w:div w:id="1405833276">
      <w:bodyDiv w:val="1"/>
      <w:marLeft w:val="0"/>
      <w:marRight w:val="0"/>
      <w:marTop w:val="0"/>
      <w:marBottom w:val="0"/>
      <w:divBdr>
        <w:top w:val="none" w:sz="0" w:space="0" w:color="auto"/>
        <w:left w:val="none" w:sz="0" w:space="0" w:color="auto"/>
        <w:bottom w:val="none" w:sz="0" w:space="0" w:color="auto"/>
        <w:right w:val="none" w:sz="0" w:space="0" w:color="auto"/>
      </w:divBdr>
    </w:div>
    <w:div w:id="1409038596">
      <w:bodyDiv w:val="1"/>
      <w:marLeft w:val="0"/>
      <w:marRight w:val="0"/>
      <w:marTop w:val="0"/>
      <w:marBottom w:val="0"/>
      <w:divBdr>
        <w:top w:val="none" w:sz="0" w:space="0" w:color="auto"/>
        <w:left w:val="none" w:sz="0" w:space="0" w:color="auto"/>
        <w:bottom w:val="none" w:sz="0" w:space="0" w:color="auto"/>
        <w:right w:val="none" w:sz="0" w:space="0" w:color="auto"/>
      </w:divBdr>
    </w:div>
    <w:div w:id="1427577623">
      <w:bodyDiv w:val="1"/>
      <w:marLeft w:val="0"/>
      <w:marRight w:val="0"/>
      <w:marTop w:val="0"/>
      <w:marBottom w:val="0"/>
      <w:divBdr>
        <w:top w:val="none" w:sz="0" w:space="0" w:color="auto"/>
        <w:left w:val="none" w:sz="0" w:space="0" w:color="auto"/>
        <w:bottom w:val="none" w:sz="0" w:space="0" w:color="auto"/>
        <w:right w:val="none" w:sz="0" w:space="0" w:color="auto"/>
      </w:divBdr>
    </w:div>
    <w:div w:id="1431319457">
      <w:bodyDiv w:val="1"/>
      <w:marLeft w:val="0"/>
      <w:marRight w:val="0"/>
      <w:marTop w:val="0"/>
      <w:marBottom w:val="0"/>
      <w:divBdr>
        <w:top w:val="none" w:sz="0" w:space="0" w:color="auto"/>
        <w:left w:val="none" w:sz="0" w:space="0" w:color="auto"/>
        <w:bottom w:val="none" w:sz="0" w:space="0" w:color="auto"/>
        <w:right w:val="none" w:sz="0" w:space="0" w:color="auto"/>
      </w:divBdr>
      <w:divsChild>
        <w:div w:id="486091764">
          <w:marLeft w:val="0"/>
          <w:marRight w:val="0"/>
          <w:marTop w:val="0"/>
          <w:marBottom w:val="0"/>
          <w:divBdr>
            <w:top w:val="none" w:sz="0" w:space="0" w:color="auto"/>
            <w:left w:val="none" w:sz="0" w:space="0" w:color="auto"/>
            <w:bottom w:val="none" w:sz="0" w:space="0" w:color="auto"/>
            <w:right w:val="none" w:sz="0" w:space="0" w:color="auto"/>
          </w:divBdr>
          <w:divsChild>
            <w:div w:id="1119447198">
              <w:marLeft w:val="0"/>
              <w:marRight w:val="0"/>
              <w:marTop w:val="0"/>
              <w:marBottom w:val="0"/>
              <w:divBdr>
                <w:top w:val="none" w:sz="0" w:space="0" w:color="auto"/>
                <w:left w:val="none" w:sz="0" w:space="0" w:color="auto"/>
                <w:bottom w:val="none" w:sz="0" w:space="0" w:color="auto"/>
                <w:right w:val="none" w:sz="0" w:space="0" w:color="auto"/>
              </w:divBdr>
              <w:divsChild>
                <w:div w:id="311524703">
                  <w:marLeft w:val="0"/>
                  <w:marRight w:val="0"/>
                  <w:marTop w:val="0"/>
                  <w:marBottom w:val="0"/>
                  <w:divBdr>
                    <w:top w:val="none" w:sz="0" w:space="0" w:color="auto"/>
                    <w:left w:val="none" w:sz="0" w:space="0" w:color="auto"/>
                    <w:bottom w:val="none" w:sz="0" w:space="0" w:color="auto"/>
                    <w:right w:val="none" w:sz="0" w:space="0" w:color="auto"/>
                  </w:divBdr>
                  <w:divsChild>
                    <w:div w:id="1636714518">
                      <w:marLeft w:val="0"/>
                      <w:marRight w:val="0"/>
                      <w:marTop w:val="0"/>
                      <w:marBottom w:val="0"/>
                      <w:divBdr>
                        <w:top w:val="none" w:sz="0" w:space="0" w:color="auto"/>
                        <w:left w:val="none" w:sz="0" w:space="0" w:color="auto"/>
                        <w:bottom w:val="none" w:sz="0" w:space="0" w:color="auto"/>
                        <w:right w:val="none" w:sz="0" w:space="0" w:color="auto"/>
                      </w:divBdr>
                      <w:divsChild>
                        <w:div w:id="93659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43383014">
      <w:bodyDiv w:val="1"/>
      <w:marLeft w:val="0"/>
      <w:marRight w:val="0"/>
      <w:marTop w:val="0"/>
      <w:marBottom w:val="0"/>
      <w:divBdr>
        <w:top w:val="none" w:sz="0" w:space="0" w:color="auto"/>
        <w:left w:val="none" w:sz="0" w:space="0" w:color="auto"/>
        <w:bottom w:val="none" w:sz="0" w:space="0" w:color="auto"/>
        <w:right w:val="none" w:sz="0" w:space="0" w:color="auto"/>
      </w:divBdr>
    </w:div>
    <w:div w:id="1448237061">
      <w:bodyDiv w:val="1"/>
      <w:marLeft w:val="0"/>
      <w:marRight w:val="0"/>
      <w:marTop w:val="0"/>
      <w:marBottom w:val="0"/>
      <w:divBdr>
        <w:top w:val="none" w:sz="0" w:space="0" w:color="auto"/>
        <w:left w:val="none" w:sz="0" w:space="0" w:color="auto"/>
        <w:bottom w:val="none" w:sz="0" w:space="0" w:color="auto"/>
        <w:right w:val="none" w:sz="0" w:space="0" w:color="auto"/>
      </w:divBdr>
    </w:div>
    <w:div w:id="1449272423">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58721591">
      <w:bodyDiv w:val="1"/>
      <w:marLeft w:val="0"/>
      <w:marRight w:val="0"/>
      <w:marTop w:val="0"/>
      <w:marBottom w:val="0"/>
      <w:divBdr>
        <w:top w:val="none" w:sz="0" w:space="0" w:color="auto"/>
        <w:left w:val="none" w:sz="0" w:space="0" w:color="auto"/>
        <w:bottom w:val="none" w:sz="0" w:space="0" w:color="auto"/>
        <w:right w:val="none" w:sz="0" w:space="0" w:color="auto"/>
      </w:divBdr>
    </w:div>
    <w:div w:id="1458988136">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049964">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79493890">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2231476">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89857615">
      <w:bodyDiv w:val="1"/>
      <w:marLeft w:val="0"/>
      <w:marRight w:val="0"/>
      <w:marTop w:val="0"/>
      <w:marBottom w:val="0"/>
      <w:divBdr>
        <w:top w:val="none" w:sz="0" w:space="0" w:color="auto"/>
        <w:left w:val="none" w:sz="0" w:space="0" w:color="auto"/>
        <w:bottom w:val="none" w:sz="0" w:space="0" w:color="auto"/>
        <w:right w:val="none" w:sz="0" w:space="0" w:color="auto"/>
      </w:divBdr>
    </w:div>
    <w:div w:id="1491169723">
      <w:bodyDiv w:val="1"/>
      <w:marLeft w:val="0"/>
      <w:marRight w:val="0"/>
      <w:marTop w:val="0"/>
      <w:marBottom w:val="0"/>
      <w:divBdr>
        <w:top w:val="none" w:sz="0" w:space="0" w:color="auto"/>
        <w:left w:val="none" w:sz="0" w:space="0" w:color="auto"/>
        <w:bottom w:val="none" w:sz="0" w:space="0" w:color="auto"/>
        <w:right w:val="none" w:sz="0" w:space="0" w:color="auto"/>
      </w:divBdr>
    </w:div>
    <w:div w:id="1496527081">
      <w:bodyDiv w:val="1"/>
      <w:marLeft w:val="0"/>
      <w:marRight w:val="0"/>
      <w:marTop w:val="0"/>
      <w:marBottom w:val="0"/>
      <w:divBdr>
        <w:top w:val="none" w:sz="0" w:space="0" w:color="auto"/>
        <w:left w:val="none" w:sz="0" w:space="0" w:color="auto"/>
        <w:bottom w:val="none" w:sz="0" w:space="0" w:color="auto"/>
        <w:right w:val="none" w:sz="0" w:space="0" w:color="auto"/>
      </w:divBdr>
    </w:div>
    <w:div w:id="1503741773">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1050105">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2903833">
      <w:bodyDiv w:val="1"/>
      <w:marLeft w:val="0"/>
      <w:marRight w:val="0"/>
      <w:marTop w:val="0"/>
      <w:marBottom w:val="0"/>
      <w:divBdr>
        <w:top w:val="none" w:sz="0" w:space="0" w:color="auto"/>
        <w:left w:val="none" w:sz="0" w:space="0" w:color="auto"/>
        <w:bottom w:val="none" w:sz="0" w:space="0" w:color="auto"/>
        <w:right w:val="none" w:sz="0" w:space="0" w:color="auto"/>
      </w:divBdr>
    </w:div>
    <w:div w:id="1567111560">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7863394">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590043590">
      <w:bodyDiv w:val="1"/>
      <w:marLeft w:val="0"/>
      <w:marRight w:val="0"/>
      <w:marTop w:val="0"/>
      <w:marBottom w:val="0"/>
      <w:divBdr>
        <w:top w:val="none" w:sz="0" w:space="0" w:color="auto"/>
        <w:left w:val="none" w:sz="0" w:space="0" w:color="auto"/>
        <w:bottom w:val="none" w:sz="0" w:space="0" w:color="auto"/>
        <w:right w:val="none" w:sz="0" w:space="0" w:color="auto"/>
      </w:divBdr>
    </w:div>
    <w:div w:id="1602570195">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07423412">
      <w:bodyDiv w:val="1"/>
      <w:marLeft w:val="0"/>
      <w:marRight w:val="0"/>
      <w:marTop w:val="0"/>
      <w:marBottom w:val="0"/>
      <w:divBdr>
        <w:top w:val="none" w:sz="0" w:space="0" w:color="auto"/>
        <w:left w:val="none" w:sz="0" w:space="0" w:color="auto"/>
        <w:bottom w:val="none" w:sz="0" w:space="0" w:color="auto"/>
        <w:right w:val="none" w:sz="0" w:space="0" w:color="auto"/>
      </w:divBdr>
    </w:div>
    <w:div w:id="1616214066">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3226872">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4866217">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47927773">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66975432">
      <w:bodyDiv w:val="1"/>
      <w:marLeft w:val="0"/>
      <w:marRight w:val="0"/>
      <w:marTop w:val="0"/>
      <w:marBottom w:val="0"/>
      <w:divBdr>
        <w:top w:val="none" w:sz="0" w:space="0" w:color="auto"/>
        <w:left w:val="none" w:sz="0" w:space="0" w:color="auto"/>
        <w:bottom w:val="none" w:sz="0" w:space="0" w:color="auto"/>
        <w:right w:val="none" w:sz="0" w:space="0" w:color="auto"/>
      </w:divBdr>
    </w:div>
    <w:div w:id="1675764069">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694570805">
      <w:bodyDiv w:val="1"/>
      <w:marLeft w:val="0"/>
      <w:marRight w:val="0"/>
      <w:marTop w:val="0"/>
      <w:marBottom w:val="0"/>
      <w:divBdr>
        <w:top w:val="none" w:sz="0" w:space="0" w:color="auto"/>
        <w:left w:val="none" w:sz="0" w:space="0" w:color="auto"/>
        <w:bottom w:val="none" w:sz="0" w:space="0" w:color="auto"/>
        <w:right w:val="none" w:sz="0" w:space="0" w:color="auto"/>
      </w:divBdr>
    </w:div>
    <w:div w:id="1707681331">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23096442">
      <w:bodyDiv w:val="1"/>
      <w:marLeft w:val="0"/>
      <w:marRight w:val="0"/>
      <w:marTop w:val="0"/>
      <w:marBottom w:val="0"/>
      <w:divBdr>
        <w:top w:val="none" w:sz="0" w:space="0" w:color="auto"/>
        <w:left w:val="none" w:sz="0" w:space="0" w:color="auto"/>
        <w:bottom w:val="none" w:sz="0" w:space="0" w:color="auto"/>
        <w:right w:val="none" w:sz="0" w:space="0" w:color="auto"/>
      </w:divBdr>
    </w:div>
    <w:div w:id="1728718468">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39088615">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69351415">
      <w:bodyDiv w:val="1"/>
      <w:marLeft w:val="0"/>
      <w:marRight w:val="0"/>
      <w:marTop w:val="0"/>
      <w:marBottom w:val="0"/>
      <w:divBdr>
        <w:top w:val="none" w:sz="0" w:space="0" w:color="auto"/>
        <w:left w:val="none" w:sz="0" w:space="0" w:color="auto"/>
        <w:bottom w:val="none" w:sz="0" w:space="0" w:color="auto"/>
        <w:right w:val="none" w:sz="0" w:space="0" w:color="auto"/>
      </w:divBdr>
    </w:div>
    <w:div w:id="177301546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08670101">
      <w:bodyDiv w:val="1"/>
      <w:marLeft w:val="0"/>
      <w:marRight w:val="0"/>
      <w:marTop w:val="0"/>
      <w:marBottom w:val="0"/>
      <w:divBdr>
        <w:top w:val="none" w:sz="0" w:space="0" w:color="auto"/>
        <w:left w:val="none" w:sz="0" w:space="0" w:color="auto"/>
        <w:bottom w:val="none" w:sz="0" w:space="0" w:color="auto"/>
        <w:right w:val="none" w:sz="0" w:space="0" w:color="auto"/>
      </w:divBdr>
    </w:div>
    <w:div w:id="1816146250">
      <w:bodyDiv w:val="1"/>
      <w:marLeft w:val="0"/>
      <w:marRight w:val="0"/>
      <w:marTop w:val="0"/>
      <w:marBottom w:val="0"/>
      <w:divBdr>
        <w:top w:val="none" w:sz="0" w:space="0" w:color="auto"/>
        <w:left w:val="none" w:sz="0" w:space="0" w:color="auto"/>
        <w:bottom w:val="none" w:sz="0" w:space="0" w:color="auto"/>
        <w:right w:val="none" w:sz="0" w:space="0" w:color="auto"/>
      </w:divBdr>
    </w:div>
    <w:div w:id="1816216473">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5216784">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1141564">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887401502">
      <w:bodyDiv w:val="1"/>
      <w:marLeft w:val="0"/>
      <w:marRight w:val="0"/>
      <w:marTop w:val="0"/>
      <w:marBottom w:val="0"/>
      <w:divBdr>
        <w:top w:val="none" w:sz="0" w:space="0" w:color="auto"/>
        <w:left w:val="none" w:sz="0" w:space="0" w:color="auto"/>
        <w:bottom w:val="none" w:sz="0" w:space="0" w:color="auto"/>
        <w:right w:val="none" w:sz="0" w:space="0" w:color="auto"/>
      </w:divBdr>
    </w:div>
    <w:div w:id="1888444531">
      <w:bodyDiv w:val="1"/>
      <w:marLeft w:val="0"/>
      <w:marRight w:val="0"/>
      <w:marTop w:val="0"/>
      <w:marBottom w:val="0"/>
      <w:divBdr>
        <w:top w:val="none" w:sz="0" w:space="0" w:color="auto"/>
        <w:left w:val="none" w:sz="0" w:space="0" w:color="auto"/>
        <w:bottom w:val="none" w:sz="0" w:space="0" w:color="auto"/>
        <w:right w:val="none" w:sz="0" w:space="0" w:color="auto"/>
      </w:divBdr>
    </w:div>
    <w:div w:id="1896118777">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15314799">
      <w:bodyDiv w:val="1"/>
      <w:marLeft w:val="0"/>
      <w:marRight w:val="0"/>
      <w:marTop w:val="0"/>
      <w:marBottom w:val="0"/>
      <w:divBdr>
        <w:top w:val="none" w:sz="0" w:space="0" w:color="auto"/>
        <w:left w:val="none" w:sz="0" w:space="0" w:color="auto"/>
        <w:bottom w:val="none" w:sz="0" w:space="0" w:color="auto"/>
        <w:right w:val="none" w:sz="0" w:space="0" w:color="auto"/>
      </w:divBdr>
    </w:div>
    <w:div w:id="1923636231">
      <w:bodyDiv w:val="1"/>
      <w:marLeft w:val="0"/>
      <w:marRight w:val="0"/>
      <w:marTop w:val="0"/>
      <w:marBottom w:val="0"/>
      <w:divBdr>
        <w:top w:val="none" w:sz="0" w:space="0" w:color="auto"/>
        <w:left w:val="none" w:sz="0" w:space="0" w:color="auto"/>
        <w:bottom w:val="none" w:sz="0" w:space="0" w:color="auto"/>
        <w:right w:val="none" w:sz="0" w:space="0" w:color="auto"/>
      </w:divBdr>
    </w:div>
    <w:div w:id="1924365643">
      <w:bodyDiv w:val="1"/>
      <w:marLeft w:val="0"/>
      <w:marRight w:val="0"/>
      <w:marTop w:val="0"/>
      <w:marBottom w:val="0"/>
      <w:divBdr>
        <w:top w:val="none" w:sz="0" w:space="0" w:color="auto"/>
        <w:left w:val="none" w:sz="0" w:space="0" w:color="auto"/>
        <w:bottom w:val="none" w:sz="0" w:space="0" w:color="auto"/>
        <w:right w:val="none" w:sz="0" w:space="0" w:color="auto"/>
      </w:divBdr>
    </w:div>
    <w:div w:id="192853646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0336047">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808444">
      <w:bodyDiv w:val="1"/>
      <w:marLeft w:val="0"/>
      <w:marRight w:val="0"/>
      <w:marTop w:val="0"/>
      <w:marBottom w:val="0"/>
      <w:divBdr>
        <w:top w:val="none" w:sz="0" w:space="0" w:color="auto"/>
        <w:left w:val="none" w:sz="0" w:space="0" w:color="auto"/>
        <w:bottom w:val="none" w:sz="0" w:space="0" w:color="auto"/>
        <w:right w:val="none" w:sz="0" w:space="0" w:color="auto"/>
      </w:divBdr>
    </w:div>
    <w:div w:id="1956591972">
      <w:bodyDiv w:val="1"/>
      <w:marLeft w:val="0"/>
      <w:marRight w:val="0"/>
      <w:marTop w:val="0"/>
      <w:marBottom w:val="0"/>
      <w:divBdr>
        <w:top w:val="none" w:sz="0" w:space="0" w:color="auto"/>
        <w:left w:val="none" w:sz="0" w:space="0" w:color="auto"/>
        <w:bottom w:val="none" w:sz="0" w:space="0" w:color="auto"/>
        <w:right w:val="none" w:sz="0" w:space="0" w:color="auto"/>
      </w:divBdr>
    </w:div>
    <w:div w:id="1959945062">
      <w:bodyDiv w:val="1"/>
      <w:marLeft w:val="0"/>
      <w:marRight w:val="0"/>
      <w:marTop w:val="0"/>
      <w:marBottom w:val="0"/>
      <w:divBdr>
        <w:top w:val="none" w:sz="0" w:space="0" w:color="auto"/>
        <w:left w:val="none" w:sz="0" w:space="0" w:color="auto"/>
        <w:bottom w:val="none" w:sz="0" w:space="0" w:color="auto"/>
        <w:right w:val="none" w:sz="0" w:space="0" w:color="auto"/>
      </w:divBdr>
    </w:div>
    <w:div w:id="1963413237">
      <w:bodyDiv w:val="1"/>
      <w:marLeft w:val="0"/>
      <w:marRight w:val="0"/>
      <w:marTop w:val="0"/>
      <w:marBottom w:val="0"/>
      <w:divBdr>
        <w:top w:val="none" w:sz="0" w:space="0" w:color="auto"/>
        <w:left w:val="none" w:sz="0" w:space="0" w:color="auto"/>
        <w:bottom w:val="none" w:sz="0" w:space="0" w:color="auto"/>
        <w:right w:val="none" w:sz="0" w:space="0" w:color="auto"/>
      </w:divBdr>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26448">
      <w:bodyDiv w:val="1"/>
      <w:marLeft w:val="0"/>
      <w:marRight w:val="0"/>
      <w:marTop w:val="0"/>
      <w:marBottom w:val="0"/>
      <w:divBdr>
        <w:top w:val="none" w:sz="0" w:space="0" w:color="auto"/>
        <w:left w:val="none" w:sz="0" w:space="0" w:color="auto"/>
        <w:bottom w:val="none" w:sz="0" w:space="0" w:color="auto"/>
        <w:right w:val="none" w:sz="0" w:space="0" w:color="auto"/>
      </w:divBdr>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1880045">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00383274">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2201161">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56588086">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1926504">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78674129">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099206950">
      <w:bodyDiv w:val="1"/>
      <w:marLeft w:val="0"/>
      <w:marRight w:val="0"/>
      <w:marTop w:val="0"/>
      <w:marBottom w:val="0"/>
      <w:divBdr>
        <w:top w:val="none" w:sz="0" w:space="0" w:color="auto"/>
        <w:left w:val="none" w:sz="0" w:space="0" w:color="auto"/>
        <w:bottom w:val="none" w:sz="0" w:space="0" w:color="auto"/>
        <w:right w:val="none" w:sz="0" w:space="0" w:color="auto"/>
      </w:divBdr>
    </w:div>
    <w:div w:id="2101640931">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0272279">
      <w:bodyDiv w:val="1"/>
      <w:marLeft w:val="0"/>
      <w:marRight w:val="0"/>
      <w:marTop w:val="0"/>
      <w:marBottom w:val="0"/>
      <w:divBdr>
        <w:top w:val="none" w:sz="0" w:space="0" w:color="auto"/>
        <w:left w:val="none" w:sz="0" w:space="0" w:color="auto"/>
        <w:bottom w:val="none" w:sz="0" w:space="0" w:color="auto"/>
        <w:right w:val="none" w:sz="0" w:space="0" w:color="auto"/>
      </w:divBdr>
    </w:div>
    <w:div w:id="2115785843">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 w:id="2120643909">
      <w:bodyDiv w:val="1"/>
      <w:marLeft w:val="0"/>
      <w:marRight w:val="0"/>
      <w:marTop w:val="0"/>
      <w:marBottom w:val="0"/>
      <w:divBdr>
        <w:top w:val="none" w:sz="0" w:space="0" w:color="auto"/>
        <w:left w:val="none" w:sz="0" w:space="0" w:color="auto"/>
        <w:bottom w:val="none" w:sz="0" w:space="0" w:color="auto"/>
        <w:right w:val="none" w:sz="0" w:space="0" w:color="auto"/>
      </w:divBdr>
    </w:div>
    <w:div w:id="2123382914">
      <w:bodyDiv w:val="1"/>
      <w:marLeft w:val="0"/>
      <w:marRight w:val="0"/>
      <w:marTop w:val="0"/>
      <w:marBottom w:val="0"/>
      <w:divBdr>
        <w:top w:val="none" w:sz="0" w:space="0" w:color="auto"/>
        <w:left w:val="none" w:sz="0" w:space="0" w:color="auto"/>
        <w:bottom w:val="none" w:sz="0" w:space="0" w:color="auto"/>
        <w:right w:val="none" w:sz="0" w:space="0" w:color="auto"/>
      </w:divBdr>
    </w:div>
    <w:div w:id="214546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tar.lt/portal/lt/legalAct/c0abc796ae7311ef90b5ee8931e5ce5e" TargetMode="External"/><Relationship Id="rId18" Type="http://schemas.openxmlformats.org/officeDocument/2006/relationships/hyperlink" Target="https://www.e-tar.lt/portal/lt/legalAct/67021514adaa11ef90b5ee8931e5ce5e" TargetMode="External"/><Relationship Id="rId26" Type="http://schemas.openxmlformats.org/officeDocument/2006/relationships/hyperlink" Target="https://www.e-tar.lt/portal/lt/legalAct/2bd4d710a76111ef90b5ee8931e5ce5e" TargetMode="Externa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e-tar.lt/portal/lt/legalAct/f8142314a5ce11ef90b5ee8931e5ce5e" TargetMode="External"/><Relationship Id="rId34" Type="http://schemas.openxmlformats.org/officeDocument/2006/relationships/hyperlink" Target="https://e-tar.lt/portal/lt/legalAct/f0874d86a1e011efa605b9842742bf37"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e-tar.lt/portal/lt/legalAct/fd9444a0a2a911efa605b9842742bf37" TargetMode="External"/><Relationship Id="rId17" Type="http://schemas.openxmlformats.org/officeDocument/2006/relationships/hyperlink" Target="https://www.e-tar.lt/portal/lt/legalAct/cf1e4c16a5ce11ef90b5ee8931e5ce5e" TargetMode="External"/><Relationship Id="rId25" Type="http://schemas.openxmlformats.org/officeDocument/2006/relationships/hyperlink" Target="https://e-tar.lt/portal/lt/legalAct/6dc518a4b26111ef88c08519262548c4" TargetMode="External"/><Relationship Id="rId33" Type="http://schemas.openxmlformats.org/officeDocument/2006/relationships/hyperlink" Target="https://www.e-tar.lt/portal/lt/legalAct/d5d38bd6bbcf11ef88c08519262548c4" TargetMode="External"/><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e-tar.lt/portal/lt/legalAct/8ead6ab4adaa11ef90b5ee8931e5ce5e" TargetMode="External"/><Relationship Id="rId20" Type="http://schemas.openxmlformats.org/officeDocument/2006/relationships/hyperlink" Target="https://www.e-tar.lt/portal/lt/legalAct/dff467b4ab4e11ef90b5ee8931e5ce5e" TargetMode="External"/><Relationship Id="rId29" Type="http://schemas.openxmlformats.org/officeDocument/2006/relationships/hyperlink" Target="https://www.e-tar.lt/portal/lt/legalAct/a32405a4b32a11ef88c08519262548c4"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00654d83a76111ef90b5ee8931e5ce5e" TargetMode="External"/><Relationship Id="rId24" Type="http://schemas.openxmlformats.org/officeDocument/2006/relationships/hyperlink" Target="https://e-tar.lt/portal/lt/legalAct/4cdccda1a76111ef90b5ee8931e5ce5e" TargetMode="External"/><Relationship Id="rId32" Type="http://schemas.openxmlformats.org/officeDocument/2006/relationships/hyperlink" Target="https://www.e-tar.lt/portal/lt/legalAct/9750df80adaa11ef90b5ee8931e5ce5e" TargetMode="External"/><Relationship Id="rId37" Type="http://schemas.openxmlformats.org/officeDocument/2006/relationships/hyperlink" Target="https://www.e-tar.lt/portal/lt/legalAct/e879b0f6a5ce11ef90b5ee8931e5ce5e" TargetMode="Externa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e-tar.lt/portal/lt/legalAct/44a412f6b26111ef88c08519262548c4" TargetMode="External"/><Relationship Id="rId23" Type="http://schemas.openxmlformats.org/officeDocument/2006/relationships/hyperlink" Target="https://e-tar.lt/portal/lt/legalAct/52001276b0cf11ef88c08519262548c4" TargetMode="External"/><Relationship Id="rId28" Type="http://schemas.openxmlformats.org/officeDocument/2006/relationships/hyperlink" Target="https://www.e-tar.lt/portal/lt/legalAct/aca64c84adaa11ef90b5ee8931e5ce5e" TargetMode="External"/><Relationship Id="rId36" Type="http://schemas.openxmlformats.org/officeDocument/2006/relationships/hyperlink" Target="https://www.e-tar.lt/portal/lt/legalAct/790710e4ace111ef90b5ee8931e5ce5e" TargetMode="External"/><Relationship Id="rId10" Type="http://schemas.openxmlformats.org/officeDocument/2006/relationships/hyperlink" Target="https://www.e-tar.lt/portal/lt/legalAct/5cf26614adaa11ef90b5ee8931e5ce5e" TargetMode="External"/><Relationship Id="rId19" Type="http://schemas.openxmlformats.org/officeDocument/2006/relationships/hyperlink" Target="https://www.e-tar.lt/portal/lt/legalAct/aca257c0b3f311ef88c08519262548c4" TargetMode="External"/><Relationship Id="rId31" Type="http://schemas.openxmlformats.org/officeDocument/2006/relationships/hyperlink" Target="https://www.e-tar.lt/portal/lt/legalAct/3d944226b0cf11ef88c08519262548c4" TargetMode="External"/><Relationship Id="rId4" Type="http://schemas.openxmlformats.org/officeDocument/2006/relationships/settings" Target="settings.xml"/><Relationship Id="rId9" Type="http://schemas.openxmlformats.org/officeDocument/2006/relationships/hyperlink" Target="https://www.e-tar.lt/portal/lt/legalAct/3d661021a76111ef90b5ee8931e5ce5e" TargetMode="External"/><Relationship Id="rId14" Type="http://schemas.openxmlformats.org/officeDocument/2006/relationships/hyperlink" Target="https://www.e-tar.lt/portal/lt/legalAct/05edc6b4a76111ef90b5ee8931e5ce5e" TargetMode="External"/><Relationship Id="rId22" Type="http://schemas.openxmlformats.org/officeDocument/2006/relationships/hyperlink" Target="https://www.e-tar.lt/portal/lt/legalAct/7316f176b26111ef88c08519262548c4" TargetMode="External"/><Relationship Id="rId27" Type="http://schemas.openxmlformats.org/officeDocument/2006/relationships/hyperlink" Target="https://www.e-tar.lt/portal/lt/legalAct/f9caff76b3f311ef88c08519262548c4" TargetMode="External"/><Relationship Id="rId30" Type="http://schemas.openxmlformats.org/officeDocument/2006/relationships/hyperlink" Target="https://www.e-tar.lt/portal/lt/legalAct/febdd086a2a911efa605b9842742bf37" TargetMode="External"/><Relationship Id="rId35" Type="http://schemas.openxmlformats.org/officeDocument/2006/relationships/hyperlink" Target="https://www.e-tar.lt/portal/lt/legalAct/86578756ae7311ef90b5ee8931e5ce5e"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2D2528-F996-4363-ABE8-99676723D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27</Pages>
  <Words>13840</Words>
  <Characters>104036</Characters>
  <Application>Microsoft Office Word</Application>
  <DocSecurity>0</DocSecurity>
  <Lines>866</Lines>
  <Paragraphs>235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117641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 Žemaitis</dc:creator>
  <cp:keywords/>
  <dc:description/>
  <cp:lastModifiedBy>Marius Žemaitis</cp:lastModifiedBy>
  <cp:revision>3</cp:revision>
  <cp:lastPrinted>2025-01-13T08:43:00Z</cp:lastPrinted>
  <dcterms:created xsi:type="dcterms:W3CDTF">2025-01-13T08:43:00Z</dcterms:created>
  <dcterms:modified xsi:type="dcterms:W3CDTF">2025-01-13T08:44:00Z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bb01c8c8d2d47ece5fc2ac6dfe04739eeebc77c383d1912ed364f6633569e698</vt:lpwstr>
  </property>
</Properties>
</file>