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F521" w14:textId="3DB052DD" w:rsidR="009A762B" w:rsidRPr="00172A52" w:rsidRDefault="009A762B" w:rsidP="009A762B">
      <w:pPr>
        <w:ind w:left="-142" w:right="-2" w:firstLine="720"/>
        <w:jc w:val="right"/>
      </w:pPr>
      <w:bookmarkStart w:id="0" w:name="_Hlk162344725"/>
      <w:r w:rsidRPr="00914776">
        <w:t xml:space="preserve">Administracinė </w:t>
      </w:r>
      <w:r w:rsidRPr="00172A52">
        <w:t xml:space="preserve">byla Nr. </w:t>
      </w:r>
      <w:r w:rsidR="006856D6" w:rsidRPr="00172A52">
        <w:t>eI-1</w:t>
      </w:r>
      <w:r w:rsidR="003059B8">
        <w:t>6</w:t>
      </w:r>
      <w:r w:rsidR="006856D6" w:rsidRPr="00172A52">
        <w:t>-</w:t>
      </w:r>
      <w:r w:rsidR="003059B8">
        <w:t>602</w:t>
      </w:r>
      <w:r w:rsidR="006856D6" w:rsidRPr="00172A52">
        <w:t>/2026</w:t>
      </w:r>
    </w:p>
    <w:p w14:paraId="10B4E043" w14:textId="76E932FB" w:rsidR="001D2EA9" w:rsidRPr="00172A52" w:rsidRDefault="009A762B" w:rsidP="002B033B">
      <w:pPr>
        <w:ind w:left="-142" w:right="-2" w:firstLine="720"/>
        <w:jc w:val="right"/>
      </w:pPr>
      <w:r w:rsidRPr="00172A52">
        <w:t xml:space="preserve">Teisminio proceso Nr. </w:t>
      </w:r>
      <w:r w:rsidR="00695923" w:rsidRPr="00695923">
        <w:t>3-66-3-00037-2026-8</w:t>
      </w:r>
    </w:p>
    <w:p w14:paraId="3EEEE562" w14:textId="239B0B0C" w:rsidR="009A762B" w:rsidRDefault="009A762B" w:rsidP="001D2EA9">
      <w:pPr>
        <w:ind w:left="-142" w:right="-2" w:firstLine="720"/>
        <w:jc w:val="right"/>
      </w:pPr>
      <w:r w:rsidRPr="00172A52">
        <w:t>Procesinio sprendimo kategorijos: 43.3; 58.1</w:t>
      </w:r>
    </w:p>
    <w:p w14:paraId="34AFE5A0" w14:textId="64DEFD97" w:rsidR="00627FEF" w:rsidRPr="00914776" w:rsidRDefault="00627FEF" w:rsidP="001D2EA9">
      <w:pPr>
        <w:ind w:left="-142" w:right="-2" w:firstLine="720"/>
        <w:jc w:val="right"/>
      </w:pPr>
      <w:r>
        <w:t>(S)</w:t>
      </w:r>
    </w:p>
    <w:p w14:paraId="6DE2BE2F" w14:textId="77777777" w:rsidR="009A762B" w:rsidRPr="00914776" w:rsidRDefault="009A762B" w:rsidP="009A762B">
      <w:pPr>
        <w:ind w:left="-142" w:right="-2" w:firstLine="720"/>
        <w:jc w:val="right"/>
      </w:pPr>
    </w:p>
    <w:p w14:paraId="2EA70C42" w14:textId="5DA40105" w:rsidR="009A762B" w:rsidRPr="00914776" w:rsidRDefault="003653FA" w:rsidP="009A762B">
      <w:pPr>
        <w:ind w:right="-2"/>
        <w:jc w:val="center"/>
      </w:pPr>
      <w:r>
        <w:rPr>
          <w:noProof/>
        </w:rPr>
        <w:drawing>
          <wp:inline distT="0" distB="0" distL="0" distR="0" wp14:anchorId="6829F8F1" wp14:editId="2D401E27">
            <wp:extent cx="640080" cy="685800"/>
            <wp:effectExtent l="0" t="0" r="7620" b="0"/>
            <wp:docPr id="11619915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a:ln>
                      <a:noFill/>
                    </a:ln>
                  </pic:spPr>
                </pic:pic>
              </a:graphicData>
            </a:graphic>
          </wp:inline>
        </w:drawing>
      </w:r>
    </w:p>
    <w:p w14:paraId="598E0B21" w14:textId="77777777" w:rsidR="009A762B" w:rsidRPr="00914776" w:rsidRDefault="009A762B" w:rsidP="009A762B">
      <w:pPr>
        <w:ind w:right="-2"/>
        <w:jc w:val="center"/>
      </w:pPr>
    </w:p>
    <w:p w14:paraId="394DD1F2" w14:textId="77777777" w:rsidR="009A762B" w:rsidRPr="00914776" w:rsidRDefault="009A762B" w:rsidP="009A762B">
      <w:pPr>
        <w:pStyle w:val="Antrat3"/>
        <w:ind w:right="-2"/>
        <w:rPr>
          <w:szCs w:val="24"/>
          <w:lang w:val="lt-LT"/>
        </w:rPr>
      </w:pPr>
      <w:r w:rsidRPr="00914776">
        <w:rPr>
          <w:szCs w:val="24"/>
          <w:lang w:val="lt-LT"/>
        </w:rPr>
        <w:t>LIETUVOS VYRIAUSIASIS ADMINISTRACINIS TEISMAS</w:t>
      </w:r>
    </w:p>
    <w:p w14:paraId="797C0C66" w14:textId="77777777" w:rsidR="009A762B" w:rsidRPr="00914776" w:rsidRDefault="009A762B" w:rsidP="009A762B">
      <w:pPr>
        <w:ind w:right="-2"/>
        <w:jc w:val="center"/>
        <w:rPr>
          <w:sz w:val="12"/>
          <w:szCs w:val="12"/>
        </w:rPr>
      </w:pPr>
    </w:p>
    <w:p w14:paraId="26F49CF1" w14:textId="77777777" w:rsidR="009A762B" w:rsidRPr="00914776" w:rsidRDefault="009A762B" w:rsidP="009A762B">
      <w:pPr>
        <w:pStyle w:val="Antrat3"/>
        <w:ind w:right="-2"/>
        <w:rPr>
          <w:szCs w:val="24"/>
          <w:lang w:val="lt-LT"/>
        </w:rPr>
      </w:pPr>
      <w:r w:rsidRPr="00914776">
        <w:rPr>
          <w:szCs w:val="24"/>
          <w:lang w:val="lt-LT"/>
        </w:rPr>
        <w:t>N U T A R T I S</w:t>
      </w:r>
    </w:p>
    <w:p w14:paraId="11359502" w14:textId="77777777" w:rsidR="009A762B" w:rsidRPr="00914776" w:rsidRDefault="009A762B" w:rsidP="009A762B"/>
    <w:p w14:paraId="4FA21DD4" w14:textId="5440A59C" w:rsidR="009A762B" w:rsidRPr="00914776" w:rsidRDefault="009A762B" w:rsidP="009A762B">
      <w:pPr>
        <w:ind w:right="-2"/>
        <w:jc w:val="center"/>
      </w:pPr>
      <w:r w:rsidRPr="00914776">
        <w:t>202</w:t>
      </w:r>
      <w:r w:rsidR="006856D6">
        <w:t>6</w:t>
      </w:r>
      <w:r w:rsidRPr="00914776">
        <w:t xml:space="preserve"> m. </w:t>
      </w:r>
      <w:r w:rsidR="003059B8">
        <w:t>gegužės 20</w:t>
      </w:r>
      <w:r w:rsidRPr="00914776">
        <w:t xml:space="preserve"> d.</w:t>
      </w:r>
    </w:p>
    <w:p w14:paraId="195F3F63" w14:textId="77777777" w:rsidR="009A762B" w:rsidRPr="00914776" w:rsidRDefault="009A762B" w:rsidP="009A762B">
      <w:pPr>
        <w:ind w:right="-2"/>
        <w:jc w:val="center"/>
      </w:pPr>
      <w:r w:rsidRPr="00914776">
        <w:t>Vilnius</w:t>
      </w:r>
    </w:p>
    <w:p w14:paraId="760F659E" w14:textId="77777777" w:rsidR="009A762B" w:rsidRPr="00914776" w:rsidRDefault="009A762B" w:rsidP="009A762B">
      <w:pPr>
        <w:ind w:right="-2"/>
        <w:jc w:val="center"/>
      </w:pPr>
    </w:p>
    <w:p w14:paraId="47BA687E" w14:textId="2F1B9D19" w:rsidR="009A762B" w:rsidRPr="005F4D72" w:rsidRDefault="009A762B" w:rsidP="006856D6">
      <w:pPr>
        <w:shd w:val="clear" w:color="auto" w:fill="FFFFFF"/>
        <w:ind w:right="-2" w:firstLine="709"/>
        <w:jc w:val="both"/>
      </w:pPr>
      <w:r w:rsidRPr="00914776">
        <w:t xml:space="preserve">Lietuvos vyriausiojo </w:t>
      </w:r>
      <w:r w:rsidRPr="005F4D72">
        <w:t xml:space="preserve">administracinio teismo teisėjų kolegija, susidedanti iš </w:t>
      </w:r>
      <w:r w:rsidR="00361A54">
        <w:t>Arūno Dirvono,</w:t>
      </w:r>
      <w:r w:rsidR="006856D6" w:rsidRPr="005F4D72">
        <w:t xml:space="preserve"> </w:t>
      </w:r>
      <w:r w:rsidR="00361A54">
        <w:t>Veslavos Ruskan</w:t>
      </w:r>
      <w:r w:rsidR="006856D6" w:rsidRPr="005F4D72">
        <w:t xml:space="preserve"> </w:t>
      </w:r>
      <w:r w:rsidRPr="005F4D72">
        <w:t>(</w:t>
      </w:r>
      <w:r w:rsidR="00A17E1C" w:rsidRPr="005F4D72">
        <w:t>kolegijos pirminink</w:t>
      </w:r>
      <w:r w:rsidR="006856D6" w:rsidRPr="005F4D72">
        <w:t>ė</w:t>
      </w:r>
      <w:r w:rsidR="00361A54">
        <w:t xml:space="preserve"> ir pranešėja</w:t>
      </w:r>
      <w:r w:rsidRPr="005F4D72">
        <w:t>)</w:t>
      </w:r>
      <w:r w:rsidR="00361A54">
        <w:t xml:space="preserve"> ir Mildos Vainienės,</w:t>
      </w:r>
    </w:p>
    <w:p w14:paraId="54898D76" w14:textId="37A5A821" w:rsidR="00CE15AF" w:rsidRPr="00CE15AF" w:rsidRDefault="009A762B" w:rsidP="00CE15AF">
      <w:pPr>
        <w:shd w:val="clear" w:color="auto" w:fill="FFFFFF"/>
        <w:ind w:firstLine="720"/>
        <w:jc w:val="both"/>
        <w:rPr>
          <w:szCs w:val="20"/>
        </w:rPr>
      </w:pPr>
      <w:r w:rsidRPr="005F4D72">
        <w:t>rašytinio proceso tvarka nagrinėdama pareiškėj</w:t>
      </w:r>
      <w:r w:rsidR="001F635D" w:rsidRPr="005F4D72">
        <w:t>o</w:t>
      </w:r>
      <w:r w:rsidRPr="005F4D72">
        <w:t xml:space="preserve"> </w:t>
      </w:r>
      <w:r w:rsidR="001F635D" w:rsidRPr="005F4D72">
        <w:t xml:space="preserve">Lietuvos Respublikos Seimo nario </w:t>
      </w:r>
      <w:r w:rsidR="00CE15AF" w:rsidRPr="00CD66F3">
        <w:rPr>
          <w:szCs w:val="20"/>
        </w:rPr>
        <w:t xml:space="preserve">Simono </w:t>
      </w:r>
      <w:r w:rsidR="00CE15AF" w:rsidRPr="00CE15AF">
        <w:rPr>
          <w:szCs w:val="20"/>
        </w:rPr>
        <w:t xml:space="preserve">Gentvilo pareiškimo dėl Lietuvos Respublikos aplinkos ministro 2014 m. kovo 6 d. įsakymu Nr. D1-249 patvirtintos Fizinių ir juridinių asmenų neteisėta veika miškuose padarytos žalos aplinkai atlyginimo dydžio apskaičiavimo metodikos nuostatų teisėtumo </w:t>
      </w:r>
      <w:r w:rsidR="00CE15AF" w:rsidRPr="00CE15AF">
        <w:t>ištyrimo priėmimo klausimą,</w:t>
      </w:r>
    </w:p>
    <w:p w14:paraId="3237FF3A" w14:textId="77777777" w:rsidR="009A762B" w:rsidRPr="00CE15AF" w:rsidRDefault="009A762B" w:rsidP="009A762B">
      <w:pPr>
        <w:shd w:val="clear" w:color="auto" w:fill="FFFFFF"/>
        <w:ind w:right="-2"/>
      </w:pPr>
    </w:p>
    <w:p w14:paraId="29472944" w14:textId="77777777" w:rsidR="009A762B" w:rsidRPr="00CE15AF" w:rsidRDefault="009A762B" w:rsidP="009A762B">
      <w:pPr>
        <w:shd w:val="clear" w:color="auto" w:fill="FFFFFF"/>
        <w:ind w:right="-2"/>
      </w:pPr>
      <w:r w:rsidRPr="00CE15AF">
        <w:t>n u s t a t ė:</w:t>
      </w:r>
    </w:p>
    <w:p w14:paraId="2A06DD56" w14:textId="77777777" w:rsidR="009A762B" w:rsidRPr="002C0DA5" w:rsidRDefault="009A762B" w:rsidP="009A762B">
      <w:pPr>
        <w:shd w:val="clear" w:color="auto" w:fill="FFFFFF"/>
        <w:ind w:right="-2" w:firstLine="709"/>
      </w:pPr>
    </w:p>
    <w:p w14:paraId="6B819818" w14:textId="77777777" w:rsidR="002C0DA5" w:rsidRDefault="009A762B" w:rsidP="008D0B99">
      <w:pPr>
        <w:shd w:val="clear" w:color="auto" w:fill="FFFFFF"/>
        <w:ind w:right="-2" w:firstLine="709"/>
        <w:jc w:val="both"/>
      </w:pPr>
      <w:r w:rsidRPr="002C0DA5">
        <w:t xml:space="preserve">Lietuvos vyriausiajame administraciniame teisme gautas </w:t>
      </w:r>
      <w:r w:rsidR="001F635D" w:rsidRPr="002C0DA5">
        <w:t xml:space="preserve">pareiškėjo Lietuvos Respublikos Seimo nario </w:t>
      </w:r>
      <w:r w:rsidR="002C0DA5" w:rsidRPr="002C0DA5">
        <w:rPr>
          <w:szCs w:val="20"/>
        </w:rPr>
        <w:t xml:space="preserve">Simono Gentvilo </w:t>
      </w:r>
      <w:r w:rsidRPr="002C0DA5">
        <w:t>(toliau – ir pareiškėja</w:t>
      </w:r>
      <w:r w:rsidR="001F635D" w:rsidRPr="002C0DA5">
        <w:t>s</w:t>
      </w:r>
      <w:r w:rsidRPr="002C0DA5">
        <w:t>) pareiškimas, kuriuo prašoma</w:t>
      </w:r>
      <w:r w:rsidR="002C0DA5">
        <w:t>:</w:t>
      </w:r>
    </w:p>
    <w:p w14:paraId="5D1BB274" w14:textId="19C1452B" w:rsidR="002C0DA5" w:rsidRDefault="002C0DA5" w:rsidP="002C0DA5">
      <w:pPr>
        <w:shd w:val="clear" w:color="auto" w:fill="FFFFFF"/>
        <w:tabs>
          <w:tab w:val="left" w:pos="1134"/>
        </w:tabs>
        <w:ind w:right="-2" w:firstLine="709"/>
        <w:jc w:val="both"/>
      </w:pPr>
      <w:r>
        <w:t>1.</w:t>
      </w:r>
      <w:r>
        <w:tab/>
        <w:t xml:space="preserve">ištirti, ar Fizinių ir juridinių asmenų neteisėta veika miškuose padarytos žalos aplinkai atlyginimo dydžio apskaičiavimo metodika, patvirtinta Lietuvos Respublikos aplinkos ministro 2014 m. kovo 6 d. įsakymu Nr. D1-249 (galiojanti redakcija), (toliau – ir Metodika) ta apimtimi, kuria nenustatytas žalos vertinimas bei žalos atlyginimo dydžio apskaičiavimas įvertinant pirminę aplinkos būklę (sąlygas), neigiamo poveikio aplinkai reikšmingumą, natūralaus aplinkos atsikūrimo galimybes ir laiką, atliktus veiksmus, užtikrinančius teršalų ir (arba) kitokių darančių žalą aplinkai veiksnių skubią kontrolę, sulaikymą, pašalinimą ar kitokį valdymą siekiant sumažinti ar išvengti didesnės žalos aplinkai, neigiamo poveikio žmonių sveikatai ar tolesnio aplinkos elementų funkcijų pablogėjimo, taip pat pritaikytas aplinkos atkūrimo priemones, neprieštarauja Lietuvos Respublikos aplinkos apsaugos įstatymo 32 straipsnio </w:t>
      </w:r>
      <w:r w:rsidR="00BF01F0">
        <w:t>4</w:t>
      </w:r>
      <w:r>
        <w:t xml:space="preserve"> daliai (galiojančiai redakcijai);</w:t>
      </w:r>
    </w:p>
    <w:p w14:paraId="4F8E2388" w14:textId="2B4D391A" w:rsidR="002C0DA5" w:rsidRDefault="002C0DA5" w:rsidP="002C0DA5">
      <w:pPr>
        <w:shd w:val="clear" w:color="auto" w:fill="FFFFFF"/>
        <w:tabs>
          <w:tab w:val="left" w:pos="1134"/>
        </w:tabs>
        <w:ind w:right="-2" w:firstLine="709"/>
        <w:jc w:val="both"/>
      </w:pPr>
      <w:r>
        <w:t>2.</w:t>
      </w:r>
      <w:r>
        <w:tab/>
        <w:t xml:space="preserve">ištirti, ar Metodika (galiojanti redakcija) ta apimtimi, kuria nustatyta, kad žalos atlyginimo dydis yra apskaičiuojamas taikant fiksuotus įkainius (išreikštus konkrečia pinigų suma eurais už 1 kub. metrą medienos, arba už vieną skruzdėlyną, arba už 1 kv. metrą uoginių, vaisinių ir vaistinių augalų dangos, arba už 1 kv. metrą miško paklotės arba už 1 tiesinį užtvaros metrą miške) ir fiksuotus koeficientus, neprieštarauja Lietuvos Respublikos aplinkos apsaugos įstatymo 32 straipsnio </w:t>
      </w:r>
      <w:r w:rsidR="00BF01F0">
        <w:t>4</w:t>
      </w:r>
      <w:r>
        <w:t xml:space="preserve"> daliai (galiojančiai redakcijai).</w:t>
      </w:r>
    </w:p>
    <w:p w14:paraId="2E925D84" w14:textId="09D56FA2" w:rsidR="009A762B" w:rsidRPr="00BF01F0" w:rsidRDefault="009A762B" w:rsidP="009A762B">
      <w:pPr>
        <w:shd w:val="clear" w:color="auto" w:fill="FFFFFF"/>
        <w:ind w:right="-2" w:firstLine="709"/>
        <w:jc w:val="both"/>
      </w:pPr>
      <w:r w:rsidRPr="006F5817">
        <w:t xml:space="preserve">Lietuvos Respublikos Seimo nario teisė kreiptis į Lietuvos vyriausiąjį administracinį teismą su pareiškimu ištirti norminio administracinio akto teisėtumą įtvirtinta Lietuvos Respublikos administracinių bylų teisenos įstatymo (toliau – ir </w:t>
      </w:r>
      <w:r w:rsidR="009F5360" w:rsidRPr="006F5817">
        <w:t>ABTĮ</w:t>
      </w:r>
      <w:r w:rsidRPr="006F5817">
        <w:t>) 112</w:t>
      </w:r>
      <w:r w:rsidR="00E11300">
        <w:t xml:space="preserve"> </w:t>
      </w:r>
      <w:r w:rsidRPr="006F5817">
        <w:t xml:space="preserve">straipsnio 1 dalyje. Šios teisės įgyvendinimo tvarka detalizuojama </w:t>
      </w:r>
      <w:r w:rsidR="009F5360" w:rsidRPr="006F5817">
        <w:t>ABTĮ</w:t>
      </w:r>
      <w:r w:rsidRPr="006F5817">
        <w:t xml:space="preserve"> antro skyriaus pirmajame skirsnyje, o tiek, kiek nereglamentuojama šiame skirsnyje, bylų dėl norminių administracinių aktų teisėtumo nagrinėjimui taikomos bendrosios </w:t>
      </w:r>
      <w:r w:rsidR="009F5360" w:rsidRPr="006F5817">
        <w:t>ABTĮ</w:t>
      </w:r>
      <w:r w:rsidRPr="006F5817">
        <w:t xml:space="preserve"> nustatytos proceso taisyklės (</w:t>
      </w:r>
      <w:r w:rsidR="009F5360" w:rsidRPr="006F5817">
        <w:t>ABTĮ</w:t>
      </w:r>
      <w:r w:rsidRPr="006F5817">
        <w:t xml:space="preserve"> 116 str. 1 d.). Taigi, naudojantis teise kreiptis į Lietuvos vyriausiąjį administracinį teismą su pareiškimu ištirti norminio administracinio akto teisėtumą, be kita ko, turi būti </w:t>
      </w:r>
      <w:r w:rsidRPr="006F5817">
        <w:rPr>
          <w:i/>
        </w:rPr>
        <w:t xml:space="preserve">mutatis mutandis </w:t>
      </w:r>
      <w:r w:rsidRPr="006F5817">
        <w:rPr>
          <w:iCs/>
        </w:rPr>
        <w:t xml:space="preserve">(su būtinais pakeitimais) </w:t>
      </w:r>
      <w:r w:rsidRPr="006F5817">
        <w:t xml:space="preserve">vadovaujamasi </w:t>
      </w:r>
      <w:r w:rsidR="009F5360" w:rsidRPr="006F5817">
        <w:t>ABTĮ</w:t>
      </w:r>
      <w:r w:rsidRPr="006F5817">
        <w:t xml:space="preserve"> 24 straipsnyje įtvirtintais reikalavimais. Pagal šio straipsnio 2 dalies 8 punktą pareiškime teismui turi </w:t>
      </w:r>
      <w:r w:rsidRPr="006F5817">
        <w:lastRenderedPageBreak/>
        <w:t xml:space="preserve">būti nurodytas pareiškėjo reikalavimas. </w:t>
      </w:r>
      <w:r w:rsidR="009F5360" w:rsidRPr="006F5817">
        <w:t>ABTĮ</w:t>
      </w:r>
      <w:r w:rsidRPr="006F5817">
        <w:t xml:space="preserve"> 24 straipsnio reikalavimai yra detalizuoti Lietuvos vyriausiojo administracinio teismo praktikoje, kurioje pažymima, kad skundo reikalavimas turi būti konkretus ir aiškus, atitikti teismo galimas priimti sprendimų rūšis (žr., pvz., Lietuvos vyriausiojo administracinio teismo 2020 m. balandžio 1 d. nutartį administracinėje byloje Nr. AS-265-525/2020, 2020 m. sausio 8</w:t>
      </w:r>
      <w:r w:rsidR="00816AAC" w:rsidRPr="006F5817">
        <w:t> </w:t>
      </w:r>
      <w:r w:rsidRPr="006F5817">
        <w:t xml:space="preserve">d. nutartį administracinėje byloje Nr. AS-51-492/2020, 2017 m. lapkričio 14 d. nutartį administracinėje byloje Nr. eAS-960-822/2017 ir kt.). Norminių administracinių aktų teisėtumo tyrimo teisenoje teismo galimos priimti sprendimų rūšys yra nurodytos </w:t>
      </w:r>
      <w:r w:rsidR="009F5360" w:rsidRPr="006F5817">
        <w:t>ABTĮ</w:t>
      </w:r>
      <w:r w:rsidRPr="006F5817">
        <w:t xml:space="preserve"> 117 straipsnio 1 dalyje, pagal kurią išnagrinėjęs bylą dėl pareiškimo (prašymo) ištirti norminio administracinio akto teisėtumą, administracinis teismas priima vieną iš šių sprendimų: skundžiamą norminį administracinį aktą (ar jo dalį) pripažinti teisėtu (1</w:t>
      </w:r>
      <w:r w:rsidR="00816AAC" w:rsidRPr="006F5817">
        <w:t> </w:t>
      </w:r>
      <w:r w:rsidRPr="006F5817">
        <w:t xml:space="preserve">p.); skundžiamą norminį administracinį aktą (ar jo dalį) pripažinti prieštaraujančiu įstatymui ar Vyriausybės norminiam teisės aktui (2 p.). Aptarti reikalavimai suponuoja, kad siekiant tinkamai išnagrinėti pareiškimą dėl norminio administracinio akto teisėtumo ištyrimo, jame ginčijama norminio administracinio akto dalis turi būti aiškiai ir konkrečiai apibrėžta (nurodant punktus, papunkčius ir pan.) ir prašyme ištirti norminio </w:t>
      </w:r>
      <w:r w:rsidRPr="00BF01F0">
        <w:t xml:space="preserve">administracinio teisės akto atitiktį aukštesnės galios teisės aktams privalo būti nurodyti šių teisės aktų pavadinimai ir jų konkrečios sudedamosios dalys (straipsnių ir/ar jų dalių, punktų numeriai). </w:t>
      </w:r>
    </w:p>
    <w:p w14:paraId="420BB812" w14:textId="77777777" w:rsidR="00452E5F" w:rsidRPr="00BF01F0" w:rsidRDefault="00452E5F" w:rsidP="00452E5F">
      <w:pPr>
        <w:shd w:val="clear" w:color="auto" w:fill="FFFFFF"/>
        <w:ind w:firstLine="709"/>
        <w:jc w:val="both"/>
      </w:pPr>
      <w:r w:rsidRPr="00BF01F0">
        <w:t>Taip pat pažymėtina, kad pagal Administracinių bylų teisenos įstatymo 24 straipsnio 2 dalies 7 punktą pareiškime, be kita ko, turi būti nurodytos aplinkybės, kuriomis pareiškėjas grindžia savo reikalavimą. Lietuvos vyriausiojo administracinio teismo praktikoje nuosekliai laikomasi pozicijos, kad pareiškime dėl norminio akto teisėtumo ištyrimo turi būti išdėstyti argumentai ir motyvai, pagrindžiantys abejonę akto teisėtumu; pareiškėjas privalo aiškiai nurodyti, kokios tikrinamo norminio akto nuostatos, kokia apimtimi prieštarauja įstatymui ar Vyriausybės norminiam aktui, ir savo poziciją dėl kiekvienos ginčijamo norminio administracinio akto (jo dalies) nuostatos atitikties įstatymui ar Vyriausybės norminiam aktui turi pagrįsti aiškiai suformuluotais teisiniais argumentais. Pareiškėjas, formuluodamas teisinius argumentus, keliančius abejonių norminio administracinio akto teisėtumu, turi išnagrinėti tiek atitinkamo norminio administracinio akto (jo dalies) turinį, tiek aukštesnės galios teisės akto (įstatymo ar Vyriausybės norminio akto) turinį ir pateikti savo konkrečią nuomonę dėl prieštaravimų tarp šių aktų (pvz., žr. Lietuvos vyriausiojo administracinio teismo 2012 m. balandžio 23 d. nutartį administracinėje byloje Nr. A</w:t>
      </w:r>
      <w:r w:rsidRPr="00BF01F0">
        <w:rPr>
          <w:vertAlign w:val="superscript"/>
        </w:rPr>
        <w:t>442</w:t>
      </w:r>
      <w:r w:rsidRPr="00BF01F0">
        <w:t>-1503/2012, 2019 m. vasario 14 d. nutartį administracinėje byloje Nr. eI-7-624/2019).</w:t>
      </w:r>
    </w:p>
    <w:p w14:paraId="05EF0EC6" w14:textId="5C284622" w:rsidR="00F96036" w:rsidRPr="00E11300" w:rsidRDefault="003D38CF" w:rsidP="00F96036">
      <w:pPr>
        <w:shd w:val="clear" w:color="auto" w:fill="FFFFFF"/>
        <w:ind w:right="-2" w:firstLine="709"/>
        <w:jc w:val="both"/>
      </w:pPr>
      <w:r w:rsidRPr="00E11300">
        <w:t xml:space="preserve">Aiškindamasi pareiškimo priėmimo klausimui spręsti reikšmingas aplinkybes, teisėjų kolegija nustatė, jog </w:t>
      </w:r>
      <w:r w:rsidR="00BF01F0" w:rsidRPr="00E11300">
        <w:t xml:space="preserve">pareiškime prašoma ištirti visos Metodikos atitiktį Lietuvos Respublikos aplinkos apsaugos įstatymo 32 straipsnio 4 daliai, t. y. pareiškėjas neįvardija konkrečių Metodikos nuostatų (punktų), kurių teisėtumu </w:t>
      </w:r>
      <w:r w:rsidR="004220D9" w:rsidRPr="00E11300">
        <w:t xml:space="preserve">jis </w:t>
      </w:r>
      <w:r w:rsidR="00BF01F0" w:rsidRPr="00E11300">
        <w:t xml:space="preserve">abejoja ir kurių atitiktį aukštesnės galios teisės aktų nuostatoms turėtų ištirti teisėjų kolegija. </w:t>
      </w:r>
      <w:r w:rsidR="00F96036" w:rsidRPr="00E11300">
        <w:t xml:space="preserve">Atkreiptinas dėmesys, kad ne visos Metodikos nuostatos reglamentuoja aplinkai padarytos žalos dydžio apskaičiavimo metodus, todėl pareiškėjas turėtų patikslinti, kurių konkrečiai Metodikos nuostatų (punktų) (pareiškėjo įvardyta apimtimi) atitiktį Lietuvos Respublikos aplinkos apsaugos įstatymo 32 straipsnio 4 daliai prašo ištirti. </w:t>
      </w:r>
      <w:r w:rsidR="00643707" w:rsidRPr="00E11300">
        <w:t>Taip pat pareiškėjas savo abejonę turėtų pagrįsti aiškiais teisiniais argumentais</w:t>
      </w:r>
      <w:r w:rsidR="00950680" w:rsidRPr="00E11300">
        <w:t>, kodėl, pareiškėjo manymu, prašom</w:t>
      </w:r>
      <w:r w:rsidR="00F96036" w:rsidRPr="00E11300">
        <w:t>os</w:t>
      </w:r>
      <w:r w:rsidR="00950680" w:rsidRPr="00E11300">
        <w:t xml:space="preserve"> ištirti </w:t>
      </w:r>
      <w:r w:rsidR="00F96036" w:rsidRPr="00E11300">
        <w:t xml:space="preserve">konkrečios aiškiai įvardytos Metodikos </w:t>
      </w:r>
      <w:r w:rsidR="00950680" w:rsidRPr="00E11300">
        <w:t>nuostat</w:t>
      </w:r>
      <w:r w:rsidR="00F96036" w:rsidRPr="00E11300">
        <w:t>os (punktai) (pareiškėjo įvardyta apimtimi)</w:t>
      </w:r>
      <w:r w:rsidR="00CC7659" w:rsidRPr="00E11300">
        <w:t xml:space="preserve"> prieštarauja </w:t>
      </w:r>
      <w:r w:rsidR="00F96036" w:rsidRPr="00E11300">
        <w:t>Lietuvos Respublikos aplinkos apsaugos įstatymo 32 straipsnio 4 daliai.</w:t>
      </w:r>
    </w:p>
    <w:p w14:paraId="32A991F9" w14:textId="247F6B91" w:rsidR="009A762B" w:rsidRPr="004220D9" w:rsidRDefault="009A762B" w:rsidP="009A762B">
      <w:pPr>
        <w:shd w:val="clear" w:color="auto" w:fill="FFFFFF"/>
        <w:ind w:right="-2" w:firstLine="709"/>
        <w:jc w:val="both"/>
      </w:pPr>
      <w:r w:rsidRPr="004220D9">
        <w:t>Apibendrinus tai, kas išdėstyta, konstatuotina, kad pareiškėj</w:t>
      </w:r>
      <w:r w:rsidR="001D2EA9" w:rsidRPr="004220D9">
        <w:t>o</w:t>
      </w:r>
      <w:r w:rsidRPr="004220D9">
        <w:t xml:space="preserve"> pareiškimas neatitinka </w:t>
      </w:r>
      <w:r w:rsidR="009F5360" w:rsidRPr="004220D9">
        <w:t>anksčiau</w:t>
      </w:r>
      <w:r w:rsidRPr="004220D9">
        <w:t xml:space="preserve"> išdėstytų Administracinių bylų teisenos įstatymo reikalavimų. Šiuo atveju negalima aiškiai nustatyti norminės bylos nagrinėjimo ribų ir apimties. Priėmus nagrinėti šį pareiškimą, prieš tai nepašalinus jo trūkumų, būtų suvaržoma proceso šalių teisė teikti paaiškinimus, teismo galimybė ruošti bylą teisminiam nagrinėjimui bei ją nagrinėti. Todėl konstatuotina, kad pareiškimo nepatikslinus, jis negali būti priimamas nagrinėti administraciniame teisme.</w:t>
      </w:r>
    </w:p>
    <w:p w14:paraId="6320CE32" w14:textId="58A1C432" w:rsidR="00BF60BA" w:rsidRPr="004220D9" w:rsidRDefault="00BF60BA" w:rsidP="00BF60BA">
      <w:pPr>
        <w:shd w:val="clear" w:color="auto" w:fill="FFFFFF"/>
        <w:ind w:right="-2" w:firstLine="709"/>
        <w:jc w:val="both"/>
      </w:pPr>
      <w:r w:rsidRPr="004220D9">
        <w:t xml:space="preserve">Vadovaujantis </w:t>
      </w:r>
      <w:r w:rsidR="00526774" w:rsidRPr="004220D9">
        <w:t>ABTĮ</w:t>
      </w:r>
      <w:r w:rsidRPr="004220D9">
        <w:t xml:space="preserve"> 33 straipsnio 1 dalimi, jeigu skundas (prašymas, pareiškimas) neatitinka šio įstatymo 9 straipsnio 2 dalyje, 24, 25 ir 35 straipsniuose nustatytų reikalavimų, nutartimi nustatomas terminas trūkumams pašalinti. Jeigu per teismo nustatytą terminą trūkumai pašalinami, skundas (prašymas, pareiškimas) laikomas paduotu pradinio jo padavimo teismui dieną. Jeigu per </w:t>
      </w:r>
      <w:r w:rsidRPr="004220D9">
        <w:lastRenderedPageBreak/>
        <w:t>teismo nustatytą terminą trūkumai nepašalinami, skundas (prašymas, pareiškimas) laikomas nepaduotu ir teisėjo nutartimi grąžinamas pareiškėjui.</w:t>
      </w:r>
    </w:p>
    <w:p w14:paraId="2D895B38" w14:textId="10176D9B" w:rsidR="00C45DC6" w:rsidRPr="00E11300" w:rsidRDefault="009A762B" w:rsidP="009A762B">
      <w:pPr>
        <w:shd w:val="clear" w:color="auto" w:fill="FFFFFF"/>
        <w:ind w:right="-2" w:firstLine="709"/>
        <w:jc w:val="both"/>
        <w:rPr>
          <w:lang w:eastAsia="en-US"/>
        </w:rPr>
      </w:pPr>
      <w:r w:rsidRPr="00E11300">
        <w:rPr>
          <w:lang w:eastAsia="en-US"/>
        </w:rPr>
        <w:t xml:space="preserve">Įvertinus tai, kas išdėstyta, darytina išvada, kad Lietuvos Respublikos </w:t>
      </w:r>
      <w:r w:rsidRPr="00E11300">
        <w:t>Seimo nari</w:t>
      </w:r>
      <w:r w:rsidR="002C12A2" w:rsidRPr="00E11300">
        <w:t xml:space="preserve">o </w:t>
      </w:r>
      <w:r w:rsidR="00C45DC6" w:rsidRPr="00E11300">
        <w:rPr>
          <w:szCs w:val="20"/>
        </w:rPr>
        <w:t xml:space="preserve">Simono Gentvilo </w:t>
      </w:r>
      <w:r w:rsidRPr="00E11300">
        <w:rPr>
          <w:lang w:eastAsia="en-US"/>
        </w:rPr>
        <w:t xml:space="preserve">pareiškimas </w:t>
      </w:r>
      <w:r w:rsidR="00EC1EF4" w:rsidRPr="00E11300">
        <w:rPr>
          <w:lang w:eastAsia="en-US"/>
        </w:rPr>
        <w:t xml:space="preserve">neatitinka </w:t>
      </w:r>
      <w:r w:rsidR="00C0127F" w:rsidRPr="00E11300">
        <w:t>ABTĮ</w:t>
      </w:r>
      <w:r w:rsidR="00EC1EF4" w:rsidRPr="00E11300">
        <w:rPr>
          <w:lang w:eastAsia="en-US"/>
        </w:rPr>
        <w:t xml:space="preserve"> 24 straipsnio reikalavimų, </w:t>
      </w:r>
      <w:r w:rsidRPr="00E11300">
        <w:rPr>
          <w:lang w:eastAsia="en-US"/>
        </w:rPr>
        <w:t>todėl pareiškėj</w:t>
      </w:r>
      <w:r w:rsidR="002C12A2" w:rsidRPr="00E11300">
        <w:rPr>
          <w:lang w:eastAsia="en-US"/>
        </w:rPr>
        <w:t>ui</w:t>
      </w:r>
      <w:r w:rsidRPr="00E11300">
        <w:rPr>
          <w:lang w:eastAsia="en-US"/>
        </w:rPr>
        <w:t xml:space="preserve"> nustatomas terminas pareiškimo trūkumams pašalinti, t. y. tiksliai suformuluoti</w:t>
      </w:r>
      <w:r w:rsidR="001D2EA9" w:rsidRPr="00E11300">
        <w:rPr>
          <w:lang w:eastAsia="en-US"/>
        </w:rPr>
        <w:t xml:space="preserve"> prašymą teismui, </w:t>
      </w:r>
      <w:r w:rsidR="00FB0487" w:rsidRPr="00E11300">
        <w:rPr>
          <w:lang w:eastAsia="en-US"/>
        </w:rPr>
        <w:t xml:space="preserve">aiškiai </w:t>
      </w:r>
      <w:r w:rsidR="001D2EA9" w:rsidRPr="00E11300">
        <w:rPr>
          <w:lang w:eastAsia="en-US"/>
        </w:rPr>
        <w:t>įvardijant</w:t>
      </w:r>
      <w:r w:rsidR="00113941" w:rsidRPr="00E11300">
        <w:rPr>
          <w:lang w:eastAsia="en-US"/>
        </w:rPr>
        <w:t xml:space="preserve">, </w:t>
      </w:r>
      <w:r w:rsidR="00FB0487" w:rsidRPr="00E11300">
        <w:rPr>
          <w:lang w:eastAsia="en-US"/>
        </w:rPr>
        <w:t>kurios konkrečios Metodikos nuostatos (punktai) (pareiškėjo įvardyta apimtimi) ir kodėl, pareiškėjo manymu, prieštarauja Lietuvos Respublikos aplinkos apsaugos įstatymo 32 straipsnio 4 daliai.</w:t>
      </w:r>
    </w:p>
    <w:p w14:paraId="6D414028" w14:textId="77777777" w:rsidR="002B4F21" w:rsidRPr="00E11300" w:rsidRDefault="002B4F21" w:rsidP="009A762B">
      <w:pPr>
        <w:shd w:val="clear" w:color="auto" w:fill="FFFFFF"/>
        <w:ind w:right="-2" w:firstLine="709"/>
        <w:jc w:val="both"/>
        <w:rPr>
          <w:lang w:eastAsia="en-US"/>
        </w:rPr>
      </w:pPr>
    </w:p>
    <w:p w14:paraId="21926D6F" w14:textId="77777777" w:rsidR="009A762B" w:rsidRPr="00E11300" w:rsidRDefault="009A762B" w:rsidP="009A762B">
      <w:pPr>
        <w:shd w:val="clear" w:color="auto" w:fill="FFFFFF"/>
        <w:ind w:right="-2" w:firstLine="709"/>
        <w:jc w:val="both"/>
      </w:pPr>
      <w:r w:rsidRPr="00E11300">
        <w:t>V</w:t>
      </w:r>
      <w:r w:rsidRPr="00E11300">
        <w:rPr>
          <w:w w:val="101"/>
        </w:rPr>
        <w:t xml:space="preserve">adovaudamasi Lietuvos Respublikos administracinių bylų teisenos įstatymo 33 </w:t>
      </w:r>
      <w:r w:rsidRPr="00E11300">
        <w:t>straipsnio 1 dalimi, 116 straipsnio 1 dalimi, teisėjų kolegija</w:t>
      </w:r>
    </w:p>
    <w:p w14:paraId="097CF46D" w14:textId="77777777" w:rsidR="009A762B" w:rsidRPr="00E11300" w:rsidRDefault="009A762B" w:rsidP="009A762B">
      <w:pPr>
        <w:shd w:val="clear" w:color="auto" w:fill="FFFFFF"/>
        <w:ind w:right="-2" w:firstLine="709"/>
        <w:jc w:val="both"/>
      </w:pPr>
    </w:p>
    <w:p w14:paraId="19B9A1F3" w14:textId="77777777" w:rsidR="009A762B" w:rsidRPr="00C45DC6" w:rsidRDefault="009A762B" w:rsidP="009A762B">
      <w:pPr>
        <w:shd w:val="clear" w:color="auto" w:fill="FFFFFF"/>
        <w:ind w:right="75"/>
        <w:jc w:val="both"/>
        <w:rPr>
          <w:bCs/>
        </w:rPr>
      </w:pPr>
      <w:r w:rsidRPr="00E11300">
        <w:rPr>
          <w:bCs/>
        </w:rPr>
        <w:t>n u t a r i a:</w:t>
      </w:r>
    </w:p>
    <w:p w14:paraId="0186A6C9" w14:textId="77777777" w:rsidR="009A762B" w:rsidRPr="00C45DC6" w:rsidRDefault="009A762B" w:rsidP="009A762B">
      <w:pPr>
        <w:shd w:val="clear" w:color="auto" w:fill="FFFFFF"/>
        <w:ind w:right="75" w:firstLine="709"/>
        <w:jc w:val="both"/>
        <w:rPr>
          <w:bCs/>
        </w:rPr>
      </w:pPr>
    </w:p>
    <w:p w14:paraId="25B90B08" w14:textId="2A0A357D" w:rsidR="009A762B" w:rsidRPr="00C45DC6" w:rsidRDefault="009A762B" w:rsidP="009A762B">
      <w:pPr>
        <w:shd w:val="clear" w:color="auto" w:fill="FFFFFF"/>
        <w:ind w:right="75" w:firstLine="709"/>
        <w:jc w:val="both"/>
        <w:rPr>
          <w:bCs/>
        </w:rPr>
      </w:pPr>
      <w:r w:rsidRPr="00C45DC6">
        <w:rPr>
          <w:bCs/>
        </w:rPr>
        <w:t>Pasiūlyti pareiškėj</w:t>
      </w:r>
      <w:r w:rsidR="002C12A2" w:rsidRPr="00C45DC6">
        <w:rPr>
          <w:bCs/>
        </w:rPr>
        <w:t>ui</w:t>
      </w:r>
      <w:r w:rsidRPr="00C45DC6">
        <w:rPr>
          <w:bCs/>
        </w:rPr>
        <w:t xml:space="preserve"> Lietuvos </w:t>
      </w:r>
      <w:r w:rsidRPr="00E35EFD">
        <w:rPr>
          <w:bCs/>
        </w:rPr>
        <w:t>Respublikos Seimo nari</w:t>
      </w:r>
      <w:r w:rsidR="002C12A2" w:rsidRPr="00E35EFD">
        <w:rPr>
          <w:bCs/>
        </w:rPr>
        <w:t>ui</w:t>
      </w:r>
      <w:r w:rsidRPr="00E35EFD">
        <w:rPr>
          <w:bCs/>
        </w:rPr>
        <w:t xml:space="preserve"> </w:t>
      </w:r>
      <w:r w:rsidR="00C45DC6" w:rsidRPr="00E35EFD">
        <w:t xml:space="preserve">Simonui Gentvilui </w:t>
      </w:r>
      <w:r w:rsidRPr="00E35EFD">
        <w:t>iki 202</w:t>
      </w:r>
      <w:r w:rsidR="004B67FD" w:rsidRPr="00E35EFD">
        <w:t>6</w:t>
      </w:r>
      <w:r w:rsidRPr="00E35EFD">
        <w:t xml:space="preserve"> m. </w:t>
      </w:r>
      <w:r w:rsidR="00C45DC6" w:rsidRPr="00E35EFD">
        <w:t>birželio 3</w:t>
      </w:r>
      <w:r w:rsidRPr="00E35EFD">
        <w:t xml:space="preserve"> d. pašalinti šioje nutartyje nurodytus pareiškimo trūkumus ir pateikti patikslintą pareiškimą.</w:t>
      </w:r>
      <w:r w:rsidRPr="00C45DC6">
        <w:t xml:space="preserve"> </w:t>
      </w:r>
    </w:p>
    <w:p w14:paraId="46E8EEDD" w14:textId="77777777" w:rsidR="009A762B" w:rsidRDefault="009A762B" w:rsidP="009A762B">
      <w:pPr>
        <w:ind w:right="-2" w:firstLine="720"/>
        <w:jc w:val="both"/>
        <w:rPr>
          <w:bCs/>
        </w:rPr>
      </w:pPr>
      <w:r w:rsidRPr="00C45DC6">
        <w:rPr>
          <w:bCs/>
        </w:rPr>
        <w:t>Nutartis neskundžiama.</w:t>
      </w:r>
    </w:p>
    <w:p w14:paraId="09361D32" w14:textId="77777777" w:rsidR="004B67FD" w:rsidRPr="00914776" w:rsidRDefault="004B67FD" w:rsidP="009A762B">
      <w:pPr>
        <w:ind w:right="-2" w:firstLine="720"/>
        <w:jc w:val="both"/>
        <w:rPr>
          <w:bCs/>
        </w:rPr>
      </w:pPr>
    </w:p>
    <w:p w14:paraId="01AC9024" w14:textId="77777777" w:rsidR="009A762B" w:rsidRPr="00914776" w:rsidRDefault="009A762B" w:rsidP="009A762B">
      <w:pPr>
        <w:shd w:val="clear" w:color="auto" w:fill="FFFFFF"/>
        <w:jc w:val="both"/>
        <w:rPr>
          <w:bCs/>
        </w:rPr>
      </w:pPr>
    </w:p>
    <w:p w14:paraId="54226674" w14:textId="12072A56" w:rsidR="009A762B" w:rsidRDefault="009A762B" w:rsidP="009A762B">
      <w:r w:rsidRPr="00914776">
        <w:tab/>
        <w:t>Teisėjai</w:t>
      </w:r>
      <w:r w:rsidRPr="00914776">
        <w:tab/>
      </w:r>
      <w:r w:rsidRPr="00914776">
        <w:tab/>
      </w:r>
      <w:r w:rsidRPr="00914776">
        <w:tab/>
      </w:r>
      <w:r w:rsidRPr="00914776">
        <w:tab/>
      </w:r>
      <w:r w:rsidRPr="00914776">
        <w:tab/>
      </w:r>
      <w:r w:rsidRPr="00914776">
        <w:tab/>
      </w:r>
      <w:r w:rsidRPr="00914776">
        <w:tab/>
      </w:r>
      <w:r w:rsidR="00361A54">
        <w:t>Arūnas Dirvonas</w:t>
      </w:r>
    </w:p>
    <w:p w14:paraId="55C2205A" w14:textId="77777777" w:rsidR="004B67FD" w:rsidRPr="00914776" w:rsidRDefault="004B67FD" w:rsidP="009A762B"/>
    <w:p w14:paraId="2526773C" w14:textId="77777777" w:rsidR="002B4F21" w:rsidRPr="00914776" w:rsidRDefault="002B4F21" w:rsidP="009A762B"/>
    <w:p w14:paraId="2DD7E556" w14:textId="0FEB55C0" w:rsidR="009A762B" w:rsidRDefault="009A762B" w:rsidP="009A762B">
      <w:r w:rsidRPr="00914776">
        <w:tab/>
      </w:r>
      <w:r w:rsidRPr="00914776">
        <w:tab/>
      </w:r>
      <w:r w:rsidRPr="00914776">
        <w:tab/>
      </w:r>
      <w:r w:rsidRPr="00914776">
        <w:tab/>
      </w:r>
      <w:r w:rsidRPr="00914776">
        <w:tab/>
      </w:r>
      <w:r w:rsidRPr="00914776">
        <w:tab/>
      </w:r>
      <w:r w:rsidRPr="00914776">
        <w:tab/>
      </w:r>
      <w:r w:rsidRPr="00914776">
        <w:tab/>
      </w:r>
      <w:r w:rsidRPr="00914776">
        <w:tab/>
      </w:r>
      <w:r w:rsidR="00361A54">
        <w:t>Veslava Ruskan</w:t>
      </w:r>
    </w:p>
    <w:p w14:paraId="7C20601C" w14:textId="77777777" w:rsidR="004B67FD" w:rsidRPr="00914776" w:rsidRDefault="004B67FD" w:rsidP="009A762B"/>
    <w:p w14:paraId="0921137F" w14:textId="77777777" w:rsidR="002B4F21" w:rsidRPr="00914776" w:rsidRDefault="002B4F21" w:rsidP="009A762B"/>
    <w:p w14:paraId="4C21ACD3" w14:textId="5F2E3DF7" w:rsidR="00164C66" w:rsidRPr="00914776" w:rsidRDefault="009A762B">
      <w:r w:rsidRPr="00914776">
        <w:tab/>
      </w:r>
      <w:r w:rsidRPr="00914776">
        <w:tab/>
      </w:r>
      <w:r w:rsidRPr="00914776">
        <w:tab/>
      </w:r>
      <w:r w:rsidRPr="00914776">
        <w:tab/>
      </w:r>
      <w:r w:rsidRPr="00914776">
        <w:tab/>
      </w:r>
      <w:r w:rsidRPr="00914776">
        <w:tab/>
      </w:r>
      <w:r w:rsidRPr="00914776">
        <w:tab/>
      </w:r>
      <w:r w:rsidRPr="00914776">
        <w:tab/>
      </w:r>
      <w:r w:rsidRPr="00914776">
        <w:tab/>
      </w:r>
      <w:bookmarkEnd w:id="0"/>
      <w:r w:rsidR="00361A54">
        <w:t>Milda Vainienė</w:t>
      </w:r>
    </w:p>
    <w:sectPr w:rsidR="00164C66" w:rsidRPr="00914776" w:rsidSect="00F805A0">
      <w:headerReference w:type="default" r:id="rId7"/>
      <w:pgSz w:w="11909" w:h="16834"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4E10" w14:textId="77777777" w:rsidR="00DE0308" w:rsidRDefault="00DE0308">
      <w:r>
        <w:separator/>
      </w:r>
    </w:p>
  </w:endnote>
  <w:endnote w:type="continuationSeparator" w:id="0">
    <w:p w14:paraId="2282896F" w14:textId="77777777" w:rsidR="00DE0308" w:rsidRDefault="00DE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AFB5" w14:textId="77777777" w:rsidR="00DE0308" w:rsidRDefault="00DE0308">
      <w:r>
        <w:separator/>
      </w:r>
    </w:p>
  </w:footnote>
  <w:footnote w:type="continuationSeparator" w:id="0">
    <w:p w14:paraId="7F9C3D26" w14:textId="77777777" w:rsidR="00DE0308" w:rsidRDefault="00DE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1685"/>
      <w:docPartObj>
        <w:docPartGallery w:val="Page Numbers (Top of Page)"/>
        <w:docPartUnique/>
      </w:docPartObj>
    </w:sdtPr>
    <w:sdtEndPr>
      <w:rPr>
        <w:sz w:val="20"/>
        <w:szCs w:val="20"/>
      </w:rPr>
    </w:sdtEndPr>
    <w:sdtContent>
      <w:p w14:paraId="307BB728" w14:textId="77777777" w:rsidR="00081F6D" w:rsidRPr="00114D16" w:rsidRDefault="00000000">
        <w:pPr>
          <w:pStyle w:val="Antrats"/>
          <w:jc w:val="center"/>
          <w:rPr>
            <w:sz w:val="20"/>
            <w:szCs w:val="20"/>
          </w:rPr>
        </w:pPr>
        <w:r w:rsidRPr="00114D16">
          <w:rPr>
            <w:sz w:val="20"/>
            <w:szCs w:val="20"/>
          </w:rPr>
          <w:fldChar w:fldCharType="begin"/>
        </w:r>
        <w:r w:rsidRPr="00114D16">
          <w:rPr>
            <w:sz w:val="20"/>
            <w:szCs w:val="20"/>
          </w:rPr>
          <w:instrText xml:space="preserve"> PAGE   \* MERGEFORMAT </w:instrText>
        </w:r>
        <w:r w:rsidRPr="00114D16">
          <w:rPr>
            <w:sz w:val="20"/>
            <w:szCs w:val="20"/>
          </w:rPr>
          <w:fldChar w:fldCharType="separate"/>
        </w:r>
        <w:r>
          <w:rPr>
            <w:noProof/>
            <w:sz w:val="20"/>
            <w:szCs w:val="20"/>
          </w:rPr>
          <w:t>3</w:t>
        </w:r>
        <w:r w:rsidRPr="00114D16">
          <w:rPr>
            <w:sz w:val="20"/>
            <w:szCs w:val="20"/>
          </w:rPr>
          <w:fldChar w:fldCharType="end"/>
        </w:r>
      </w:p>
    </w:sdtContent>
  </w:sdt>
  <w:p w14:paraId="152E44B0" w14:textId="77777777" w:rsidR="00081F6D" w:rsidRDefault="00081F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2B"/>
    <w:rsid w:val="00081F6D"/>
    <w:rsid w:val="000B16E6"/>
    <w:rsid w:val="00113941"/>
    <w:rsid w:val="00164C66"/>
    <w:rsid w:val="00172A52"/>
    <w:rsid w:val="001D2EA9"/>
    <w:rsid w:val="001D472D"/>
    <w:rsid w:val="001E761E"/>
    <w:rsid w:val="001E7D9E"/>
    <w:rsid w:val="001F217E"/>
    <w:rsid w:val="001F635D"/>
    <w:rsid w:val="002071C5"/>
    <w:rsid w:val="00274FE5"/>
    <w:rsid w:val="002B033B"/>
    <w:rsid w:val="002B4F21"/>
    <w:rsid w:val="002C0DA5"/>
    <w:rsid w:val="002C12A2"/>
    <w:rsid w:val="003059B8"/>
    <w:rsid w:val="00361A54"/>
    <w:rsid w:val="003653FA"/>
    <w:rsid w:val="003671D8"/>
    <w:rsid w:val="003D38CF"/>
    <w:rsid w:val="004220D9"/>
    <w:rsid w:val="00452E5F"/>
    <w:rsid w:val="00476051"/>
    <w:rsid w:val="00483EDA"/>
    <w:rsid w:val="004B1730"/>
    <w:rsid w:val="004B67FD"/>
    <w:rsid w:val="004D2669"/>
    <w:rsid w:val="00504513"/>
    <w:rsid w:val="0051624E"/>
    <w:rsid w:val="00526774"/>
    <w:rsid w:val="00545343"/>
    <w:rsid w:val="005A2B71"/>
    <w:rsid w:val="005C6F2D"/>
    <w:rsid w:val="005C79EA"/>
    <w:rsid w:val="005F4D72"/>
    <w:rsid w:val="00627FEF"/>
    <w:rsid w:val="00643707"/>
    <w:rsid w:val="00646414"/>
    <w:rsid w:val="006526D0"/>
    <w:rsid w:val="006856D6"/>
    <w:rsid w:val="00695923"/>
    <w:rsid w:val="006B1C26"/>
    <w:rsid w:val="006C3C85"/>
    <w:rsid w:val="006F5817"/>
    <w:rsid w:val="00716F23"/>
    <w:rsid w:val="007240B8"/>
    <w:rsid w:val="0075588B"/>
    <w:rsid w:val="0077323B"/>
    <w:rsid w:val="00784840"/>
    <w:rsid w:val="007A2969"/>
    <w:rsid w:val="007D2388"/>
    <w:rsid w:val="00810876"/>
    <w:rsid w:val="00816AAC"/>
    <w:rsid w:val="00821441"/>
    <w:rsid w:val="00866A92"/>
    <w:rsid w:val="00892FB7"/>
    <w:rsid w:val="008A79E1"/>
    <w:rsid w:val="008C5FAA"/>
    <w:rsid w:val="008D0B99"/>
    <w:rsid w:val="00914776"/>
    <w:rsid w:val="00950680"/>
    <w:rsid w:val="009664F1"/>
    <w:rsid w:val="009A762B"/>
    <w:rsid w:val="009B6028"/>
    <w:rsid w:val="009D7BF8"/>
    <w:rsid w:val="009F5360"/>
    <w:rsid w:val="00A17E1C"/>
    <w:rsid w:val="00A87013"/>
    <w:rsid w:val="00AF5432"/>
    <w:rsid w:val="00B92DF9"/>
    <w:rsid w:val="00BC673F"/>
    <w:rsid w:val="00BF01F0"/>
    <w:rsid w:val="00BF2182"/>
    <w:rsid w:val="00BF60BA"/>
    <w:rsid w:val="00C0127F"/>
    <w:rsid w:val="00C45DC6"/>
    <w:rsid w:val="00C558CF"/>
    <w:rsid w:val="00CC7659"/>
    <w:rsid w:val="00CE15AF"/>
    <w:rsid w:val="00CE7F44"/>
    <w:rsid w:val="00DE0308"/>
    <w:rsid w:val="00E11300"/>
    <w:rsid w:val="00E35EFD"/>
    <w:rsid w:val="00E56A49"/>
    <w:rsid w:val="00E72EF1"/>
    <w:rsid w:val="00E8289F"/>
    <w:rsid w:val="00EC1EF4"/>
    <w:rsid w:val="00EE50EC"/>
    <w:rsid w:val="00F805A0"/>
    <w:rsid w:val="00F96036"/>
    <w:rsid w:val="00FB0487"/>
    <w:rsid w:val="00FE7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1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62B"/>
    <w:pPr>
      <w:spacing w:after="0" w:line="240" w:lineRule="auto"/>
    </w:pPr>
    <w:rPr>
      <w:rFonts w:ascii="Times New Roman" w:eastAsia="Times New Roman" w:hAnsi="Times New Roman" w:cs="Times New Roman"/>
      <w:kern w:val="0"/>
      <w:sz w:val="24"/>
      <w:szCs w:val="24"/>
      <w:lang w:val="lt-LT" w:eastAsia="en-GB"/>
      <w14:ligatures w14:val="none"/>
    </w:rPr>
  </w:style>
  <w:style w:type="paragraph" w:styleId="Antrat3">
    <w:name w:val="heading 3"/>
    <w:basedOn w:val="prastasis"/>
    <w:next w:val="prastasis"/>
    <w:link w:val="Antrat3Diagrama"/>
    <w:qFormat/>
    <w:rsid w:val="009A762B"/>
    <w:pPr>
      <w:keepNext/>
      <w:widowControl w:val="0"/>
      <w:autoSpaceDE w:val="0"/>
      <w:autoSpaceDN w:val="0"/>
      <w:adjustRightInd w:val="0"/>
      <w:ind w:right="22"/>
      <w:jc w:val="center"/>
      <w:outlineLvl w:val="2"/>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A762B"/>
    <w:rPr>
      <w:rFonts w:ascii="Times New Roman" w:eastAsia="Times New Roman" w:hAnsi="Times New Roman" w:cs="Times New Roman"/>
      <w:b/>
      <w:bCs/>
      <w:kern w:val="0"/>
      <w:sz w:val="24"/>
      <w:szCs w:val="20"/>
      <w14:ligatures w14:val="none"/>
    </w:rPr>
  </w:style>
  <w:style w:type="paragraph" w:styleId="Antrats">
    <w:name w:val="header"/>
    <w:basedOn w:val="prastasis"/>
    <w:link w:val="AntratsDiagrama"/>
    <w:uiPriority w:val="99"/>
    <w:unhideWhenUsed/>
    <w:rsid w:val="009A762B"/>
    <w:pPr>
      <w:tabs>
        <w:tab w:val="center" w:pos="4819"/>
        <w:tab w:val="right" w:pos="9638"/>
      </w:tabs>
    </w:pPr>
    <w:rPr>
      <w:lang w:val="en-GB" w:eastAsia="en-US"/>
    </w:rPr>
  </w:style>
  <w:style w:type="character" w:customStyle="1" w:styleId="AntratsDiagrama">
    <w:name w:val="Antraštės Diagrama"/>
    <w:basedOn w:val="Numatytasispastraiposriftas"/>
    <w:link w:val="Antrats"/>
    <w:uiPriority w:val="99"/>
    <w:rsid w:val="009A762B"/>
    <w:rPr>
      <w:rFonts w:ascii="Times New Roman" w:eastAsia="Times New Roman" w:hAnsi="Times New Roman" w:cs="Times New Roman"/>
      <w:kern w:val="0"/>
      <w:sz w:val="24"/>
      <w:szCs w:val="24"/>
      <w:lang w:val="en-GB"/>
      <w14:ligatures w14:val="none"/>
    </w:rPr>
  </w:style>
  <w:style w:type="character" w:customStyle="1" w:styleId="ui-provider">
    <w:name w:val="ui-provider"/>
    <w:basedOn w:val="Numatytasispastraiposriftas"/>
    <w:rsid w:val="00B92DF9"/>
  </w:style>
  <w:style w:type="paragraph" w:styleId="Porat">
    <w:name w:val="footer"/>
    <w:basedOn w:val="prastasis"/>
    <w:link w:val="PoratDiagrama"/>
    <w:uiPriority w:val="99"/>
    <w:unhideWhenUsed/>
    <w:rsid w:val="0077323B"/>
    <w:pPr>
      <w:tabs>
        <w:tab w:val="center" w:pos="4819"/>
        <w:tab w:val="right" w:pos="9638"/>
      </w:tabs>
    </w:pPr>
  </w:style>
  <w:style w:type="character" w:customStyle="1" w:styleId="PoratDiagrama">
    <w:name w:val="Poraštė Diagrama"/>
    <w:basedOn w:val="Numatytasispastraiposriftas"/>
    <w:link w:val="Porat"/>
    <w:uiPriority w:val="99"/>
    <w:rsid w:val="0077323B"/>
    <w:rPr>
      <w:rFonts w:ascii="Times New Roman" w:eastAsia="Times New Roman" w:hAnsi="Times New Roman" w:cs="Times New Roman"/>
      <w:kern w:val="0"/>
      <w:sz w:val="24"/>
      <w:szCs w:val="24"/>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97244">
      <w:bodyDiv w:val="1"/>
      <w:marLeft w:val="0"/>
      <w:marRight w:val="0"/>
      <w:marTop w:val="0"/>
      <w:marBottom w:val="0"/>
      <w:divBdr>
        <w:top w:val="none" w:sz="0" w:space="0" w:color="auto"/>
        <w:left w:val="none" w:sz="0" w:space="0" w:color="auto"/>
        <w:bottom w:val="none" w:sz="0" w:space="0" w:color="auto"/>
        <w:right w:val="none" w:sz="0" w:space="0" w:color="auto"/>
      </w:divBdr>
      <w:divsChild>
        <w:div w:id="241917271">
          <w:marLeft w:val="0"/>
          <w:marRight w:val="0"/>
          <w:marTop w:val="0"/>
          <w:marBottom w:val="0"/>
          <w:divBdr>
            <w:top w:val="none" w:sz="0" w:space="0" w:color="auto"/>
            <w:left w:val="none" w:sz="0" w:space="0" w:color="auto"/>
            <w:bottom w:val="none" w:sz="0" w:space="0" w:color="auto"/>
            <w:right w:val="none" w:sz="0" w:space="0" w:color="auto"/>
          </w:divBdr>
        </w:div>
      </w:divsChild>
    </w:div>
    <w:div w:id="1797868551">
      <w:bodyDiv w:val="1"/>
      <w:marLeft w:val="0"/>
      <w:marRight w:val="0"/>
      <w:marTop w:val="0"/>
      <w:marBottom w:val="0"/>
      <w:divBdr>
        <w:top w:val="none" w:sz="0" w:space="0" w:color="auto"/>
        <w:left w:val="none" w:sz="0" w:space="0" w:color="auto"/>
        <w:bottom w:val="none" w:sz="0" w:space="0" w:color="auto"/>
        <w:right w:val="none" w:sz="0" w:space="0" w:color="auto"/>
      </w:divBdr>
      <w:divsChild>
        <w:div w:id="88391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5899</Words>
  <Characters>3363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2026-06-12T06:25:00Z</dcterms:created>
  <dcterms:modified xsi:type="dcterms:W3CDTF">2026-06-12T06:25:00Z</dcterms:modified>
</cp:coreProperties>
</file>