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6B6426" w14:textId="77777777" w:rsidR="00890CF3" w:rsidRPr="00DD2BC2" w:rsidRDefault="00890CF3" w:rsidP="00890CF3">
      <w:pPr>
        <w:ind w:left="-142" w:right="-2" w:firstLine="720"/>
        <w:jc w:val="right"/>
      </w:pPr>
      <w:bookmarkStart w:id="0" w:name="_Hlk162344725"/>
      <w:r w:rsidRPr="00DD2BC2">
        <w:t>Administracinė byla Nr. eI-13-502/2025</w:t>
      </w:r>
    </w:p>
    <w:p w14:paraId="12EE0111" w14:textId="77777777" w:rsidR="00890CF3" w:rsidRPr="00DD2BC2" w:rsidRDefault="00890CF3" w:rsidP="00890CF3">
      <w:pPr>
        <w:ind w:left="-142" w:right="-2" w:firstLine="720"/>
        <w:jc w:val="right"/>
      </w:pPr>
      <w:r w:rsidRPr="00DD2BC2">
        <w:t>Teisminio proceso Nr. 3-66-3-00013-2025-1</w:t>
      </w:r>
    </w:p>
    <w:p w14:paraId="6DE2BE2F" w14:textId="1BC7F442" w:rsidR="009A762B" w:rsidRDefault="0060344E" w:rsidP="009A762B">
      <w:pPr>
        <w:ind w:left="-142" w:right="-2" w:firstLine="720"/>
        <w:jc w:val="right"/>
      </w:pPr>
      <w:r w:rsidRPr="0060344E">
        <w:t>Procesinio sprendimo kategorij</w:t>
      </w:r>
      <w:r w:rsidR="00B27A2E">
        <w:t xml:space="preserve">os: </w:t>
      </w:r>
      <w:r w:rsidR="00B27A2E">
        <w:rPr>
          <w:lang w:val="en-US"/>
        </w:rPr>
        <w:t>4.1;</w:t>
      </w:r>
      <w:r w:rsidRPr="0060344E">
        <w:t xml:space="preserve"> 43.3</w:t>
      </w:r>
    </w:p>
    <w:p w14:paraId="590AE699" w14:textId="77777777" w:rsidR="0060344E" w:rsidRPr="00914776" w:rsidRDefault="0060344E" w:rsidP="009A762B">
      <w:pPr>
        <w:ind w:left="-142" w:right="-2" w:firstLine="720"/>
        <w:jc w:val="right"/>
      </w:pPr>
    </w:p>
    <w:p w14:paraId="2EA70C42" w14:textId="77777777" w:rsidR="009A762B" w:rsidRPr="00914776" w:rsidRDefault="009A762B" w:rsidP="009A762B">
      <w:pPr>
        <w:ind w:right="-2"/>
        <w:jc w:val="center"/>
      </w:pPr>
      <w:r w:rsidRPr="00914776">
        <w:rPr>
          <w:noProof/>
          <w:lang w:eastAsia="lt-LT"/>
        </w:rPr>
        <w:drawing>
          <wp:inline distT="0" distB="0" distL="0" distR="0" wp14:anchorId="4F5BB418" wp14:editId="0C18DA4F">
            <wp:extent cx="675640" cy="683895"/>
            <wp:effectExtent l="19050" t="0" r="0" b="0"/>
            <wp:docPr id="1" name="Paveikslėlis 1" descr="Paveikslėlis, kuriame yra žinutė&#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Paveikslėlis, kuriame yra žinutė&#10;&#10;Automatiškai sugeneruotas aprašymas"/>
                    <pic:cNvPicPr>
                      <a:picLocks noChangeAspect="1" noChangeArrowheads="1"/>
                    </pic:cNvPicPr>
                  </pic:nvPicPr>
                  <pic:blipFill>
                    <a:blip r:embed="rId8" cstate="print"/>
                    <a:srcRect/>
                    <a:stretch>
                      <a:fillRect/>
                    </a:stretch>
                  </pic:blipFill>
                  <pic:spPr bwMode="auto">
                    <a:xfrm>
                      <a:off x="0" y="0"/>
                      <a:ext cx="675640" cy="683895"/>
                    </a:xfrm>
                    <a:prstGeom prst="rect">
                      <a:avLst/>
                    </a:prstGeom>
                    <a:noFill/>
                    <a:ln w="9525">
                      <a:noFill/>
                      <a:miter lim="800000"/>
                      <a:headEnd/>
                      <a:tailEnd/>
                    </a:ln>
                  </pic:spPr>
                </pic:pic>
              </a:graphicData>
            </a:graphic>
          </wp:inline>
        </w:drawing>
      </w:r>
    </w:p>
    <w:p w14:paraId="598E0B21" w14:textId="77777777" w:rsidR="009A762B" w:rsidRPr="00914776" w:rsidRDefault="009A762B" w:rsidP="009A762B">
      <w:pPr>
        <w:ind w:right="-2"/>
        <w:jc w:val="center"/>
      </w:pPr>
    </w:p>
    <w:p w14:paraId="394DD1F2" w14:textId="77777777" w:rsidR="009A762B" w:rsidRPr="00914776" w:rsidRDefault="009A762B" w:rsidP="009A762B">
      <w:pPr>
        <w:pStyle w:val="Antrat3"/>
        <w:ind w:right="-2"/>
        <w:rPr>
          <w:szCs w:val="24"/>
          <w:lang w:val="lt-LT"/>
        </w:rPr>
      </w:pPr>
      <w:r w:rsidRPr="00914776">
        <w:rPr>
          <w:szCs w:val="24"/>
          <w:lang w:val="lt-LT"/>
        </w:rPr>
        <w:t>LIETUVOS VYRIAUSIASIS ADMINISTRACINIS TEISMAS</w:t>
      </w:r>
    </w:p>
    <w:p w14:paraId="797C0C66" w14:textId="77777777" w:rsidR="009A762B" w:rsidRPr="00914776" w:rsidRDefault="009A762B" w:rsidP="009A762B">
      <w:pPr>
        <w:ind w:right="-2"/>
        <w:jc w:val="center"/>
        <w:rPr>
          <w:sz w:val="12"/>
          <w:szCs w:val="12"/>
        </w:rPr>
      </w:pPr>
    </w:p>
    <w:p w14:paraId="26F49CF1" w14:textId="77777777" w:rsidR="009A762B" w:rsidRPr="00914776" w:rsidRDefault="009A762B" w:rsidP="009A762B">
      <w:pPr>
        <w:pStyle w:val="Antrat3"/>
        <w:ind w:right="-2"/>
        <w:rPr>
          <w:szCs w:val="24"/>
          <w:lang w:val="lt-LT"/>
        </w:rPr>
      </w:pPr>
      <w:r w:rsidRPr="00914776">
        <w:rPr>
          <w:szCs w:val="24"/>
          <w:lang w:val="lt-LT"/>
        </w:rPr>
        <w:t>N U T A R T I S</w:t>
      </w:r>
    </w:p>
    <w:p w14:paraId="11359502" w14:textId="77777777" w:rsidR="009A762B" w:rsidRPr="00914776" w:rsidRDefault="009A762B" w:rsidP="009A762B"/>
    <w:p w14:paraId="4FA21DD4" w14:textId="36A3C4E8" w:rsidR="009A762B" w:rsidRPr="00914776" w:rsidRDefault="009A762B" w:rsidP="009A762B">
      <w:pPr>
        <w:ind w:right="-2"/>
        <w:jc w:val="center"/>
      </w:pPr>
      <w:r w:rsidRPr="00914776">
        <w:t>202</w:t>
      </w:r>
      <w:r w:rsidR="002B033B" w:rsidRPr="00914776">
        <w:t>5</w:t>
      </w:r>
      <w:r w:rsidRPr="00914776">
        <w:t xml:space="preserve"> m. </w:t>
      </w:r>
      <w:r w:rsidR="00890CF3">
        <w:t xml:space="preserve">spalio 1 </w:t>
      </w:r>
      <w:r w:rsidRPr="00914776">
        <w:t>d.</w:t>
      </w:r>
    </w:p>
    <w:p w14:paraId="195F3F63" w14:textId="77777777" w:rsidR="009A762B" w:rsidRPr="00914776" w:rsidRDefault="009A762B" w:rsidP="009A762B">
      <w:pPr>
        <w:ind w:right="-2"/>
        <w:jc w:val="center"/>
      </w:pPr>
      <w:r w:rsidRPr="00914776">
        <w:t>Vilnius</w:t>
      </w:r>
    </w:p>
    <w:p w14:paraId="760F659E" w14:textId="77777777" w:rsidR="009A762B" w:rsidRPr="00914776" w:rsidRDefault="009A762B" w:rsidP="009A762B">
      <w:pPr>
        <w:ind w:right="-2"/>
        <w:jc w:val="center"/>
      </w:pPr>
    </w:p>
    <w:p w14:paraId="4B15725B" w14:textId="77777777" w:rsidR="00890CF3" w:rsidRPr="00DD2BC2" w:rsidRDefault="00890CF3" w:rsidP="00890CF3">
      <w:pPr>
        <w:shd w:val="clear" w:color="auto" w:fill="FFFFFF"/>
        <w:ind w:right="-2" w:firstLine="709"/>
        <w:jc w:val="both"/>
      </w:pPr>
      <w:r w:rsidRPr="00DD2BC2">
        <w:t xml:space="preserve">Lietuvos vyriausiojo administracinio teismo teisėjų kolegija, susidedanti iš Artūro </w:t>
      </w:r>
      <w:proofErr w:type="spellStart"/>
      <w:r w:rsidRPr="00DD2BC2">
        <w:t>Drigoto</w:t>
      </w:r>
      <w:proofErr w:type="spellEnd"/>
      <w:r w:rsidRPr="00DD2BC2">
        <w:t xml:space="preserve">, (kolegijos pirmininkas ir pranešėjas), Dalios </w:t>
      </w:r>
      <w:proofErr w:type="spellStart"/>
      <w:r w:rsidRPr="00DD2BC2">
        <w:t>Višinskienės</w:t>
      </w:r>
      <w:proofErr w:type="spellEnd"/>
      <w:r w:rsidRPr="00DD2BC2">
        <w:t xml:space="preserve"> ir Virginijos </w:t>
      </w:r>
      <w:proofErr w:type="spellStart"/>
      <w:r w:rsidRPr="00DD2BC2">
        <w:t>Volskienės</w:t>
      </w:r>
      <w:proofErr w:type="spellEnd"/>
      <w:r w:rsidRPr="00DD2BC2">
        <w:t>,</w:t>
      </w:r>
    </w:p>
    <w:p w14:paraId="10D0E1A8" w14:textId="77777777" w:rsidR="00890CF3" w:rsidRPr="00DD2BC2" w:rsidRDefault="00890CF3" w:rsidP="00890CF3">
      <w:pPr>
        <w:shd w:val="clear" w:color="auto" w:fill="FFFFFF"/>
        <w:ind w:firstLine="720"/>
        <w:jc w:val="both"/>
      </w:pPr>
      <w:r w:rsidRPr="00DD2BC2">
        <w:t xml:space="preserve">rašytinio proceso tvarka </w:t>
      </w:r>
      <w:r>
        <w:t>išnagrinėjusi</w:t>
      </w:r>
      <w:r w:rsidRPr="00DD2BC2">
        <w:t xml:space="preserve"> pareiškėjo Lietuvos Respublikos Seimo nario Vitalijaus Gailiaus pareiškimo pripažinti Lietuvos Respublikos sveikatos apsaugos ministro 2000 m. sausio 6</w:t>
      </w:r>
      <w:r>
        <w:t> </w:t>
      </w:r>
      <w:r w:rsidRPr="00DD2BC2">
        <w:t xml:space="preserve">d. įsakymo Nr. 5 „Dėl Narkotinių ir psichotropinių medžiagų sąrašų patvirtinimo“ ir šiuo įsakymu patvirtintų Narkotinių ir psichotropinių medžiagų sąrašų, Lietuvos Respublikos sveikatos apsaugos ministro 2003 m. balandžio 23 d. įsakymo Nr. V-239 „Dėl Narkotinių ir psichotropinių medžiagų nedidelio, didelio ir labai didelio kiekio nustatymo rekomendacijų“ ir šiuo įsakymu patvirtintų Narkotinių ir psichotropinių medžiagų nedidelio, didelio ir labai didelio kiekio nustatymo rekomendacijų, Tarpžinybinės psichoaktyvų efektą sukeliančių medžiagų rizikos vertinimo </w:t>
      </w:r>
      <w:r>
        <w:t xml:space="preserve">komisijos </w:t>
      </w:r>
      <w:r w:rsidRPr="00DD2BC2">
        <w:t>darbo reglamento, patvirtinto Narkotikų, tabako ir alkoholio kontrolės departamento direktoriaus 2011</w:t>
      </w:r>
      <w:r>
        <w:t> </w:t>
      </w:r>
      <w:r w:rsidRPr="00DD2BC2">
        <w:t>m. gegužės 10 d. įsakymu Nr. T1-90 „Dėl Tarpžinybinės psichoaktyvų efektą sukeliančių medžiagų rizikos vertinimo komisijos sudarymo ir jos darbo reglamento patvirtinimo“, 22 punkto prieštaravimą aukštesnės galios teisės aktams</w:t>
      </w:r>
      <w:r w:rsidRPr="00DD2BC2">
        <w:rPr>
          <w:bCs/>
        </w:rPr>
        <w:t xml:space="preserve"> </w:t>
      </w:r>
      <w:r w:rsidRPr="00DD2BC2">
        <w:t xml:space="preserve">priėmimo klausimą, </w:t>
      </w:r>
    </w:p>
    <w:p w14:paraId="3237FF3A" w14:textId="77777777" w:rsidR="009A762B" w:rsidRPr="00914776" w:rsidRDefault="009A762B" w:rsidP="009A762B">
      <w:pPr>
        <w:shd w:val="clear" w:color="auto" w:fill="FFFFFF"/>
        <w:ind w:right="-2"/>
      </w:pPr>
    </w:p>
    <w:p w14:paraId="29472944" w14:textId="77777777" w:rsidR="009A762B" w:rsidRPr="00914776" w:rsidRDefault="009A762B" w:rsidP="009A762B">
      <w:pPr>
        <w:shd w:val="clear" w:color="auto" w:fill="FFFFFF"/>
        <w:ind w:right="-2"/>
      </w:pPr>
      <w:r w:rsidRPr="00914776">
        <w:t>n u s t a t ė:</w:t>
      </w:r>
    </w:p>
    <w:p w14:paraId="2A06DD56" w14:textId="77777777" w:rsidR="009A762B" w:rsidRPr="00914776" w:rsidRDefault="009A762B" w:rsidP="009A762B">
      <w:pPr>
        <w:shd w:val="clear" w:color="auto" w:fill="FFFFFF"/>
        <w:ind w:right="-2" w:firstLine="709"/>
      </w:pPr>
    </w:p>
    <w:p w14:paraId="14BCA6C5" w14:textId="48BB6B62" w:rsidR="00890CF3" w:rsidRDefault="00890CF3" w:rsidP="00890CF3">
      <w:pPr>
        <w:shd w:val="clear" w:color="auto" w:fill="FFFFFF"/>
        <w:ind w:right="-2" w:firstLine="709"/>
        <w:jc w:val="both"/>
        <w:rPr>
          <w:bCs/>
        </w:rPr>
      </w:pPr>
      <w:r w:rsidRPr="00DD2BC2">
        <w:t>Lietuvos vyriausiajame administraciniame teisme gautas pareiškėjo Lietuvos Respublikos Seimo nario Vitalijaus Gailiaus (toliau – ir pareiškėjas) pareiškimas pripažinti, kad Lietuvos Respublikos sveikatos apsaugos ministro 2000 m. sausio 6 d. įsakymas Nr. 5 „Dėl Narkotinių ir psichotropinių medžiagų sąrašų patvirtinimo“</w:t>
      </w:r>
      <w:r w:rsidR="00055631">
        <w:t xml:space="preserve"> (toliau – ir Įsakymas Nr. 5)</w:t>
      </w:r>
      <w:r w:rsidRPr="00DD2BC2">
        <w:t xml:space="preserve"> ir šiuo įsakymu patvirtinti Narkotinių ir psichotropinių medžiagų sąrašai </w:t>
      </w:r>
      <w:r w:rsidR="00055631">
        <w:t xml:space="preserve">(toliau – ir Sąrašai) </w:t>
      </w:r>
      <w:r w:rsidRPr="00DD2BC2">
        <w:t>prieštarauja Lietuvos Respublikos Konstitucijos 135</w:t>
      </w:r>
      <w:r>
        <w:t> </w:t>
      </w:r>
      <w:r w:rsidRPr="00DD2BC2">
        <w:t xml:space="preserve">straipsnio 1 daliai, Konstitucijoje įtvirtintiems teisinės valstybės, teisinio tikrumo, teisinio saugumo, teisėtų lūkesčių apsaugos principams, Lietuvos Respublikos viešojo administravimo įstatymo 3 straipsnio 4 punkte įtvirtintam įstatymo viršenybės principui, Lietuvos Respublikos sveikatos apsaugos ministro 2003 m. balandžio 23 d. įsakymas Nr. V-239 „Dėl Narkotinių ir psichotropinių medžiagų nedidelio, didelio ir labai didelio kiekio nustatymo rekomendacijų“ </w:t>
      </w:r>
      <w:r w:rsidR="003D0AC0">
        <w:t xml:space="preserve">(toliau – ir Įsakymas Nr. V-239) </w:t>
      </w:r>
      <w:r w:rsidRPr="00DD2BC2">
        <w:t xml:space="preserve">ir šiuo įsakymu patvirtintos Narkotinių ir psichotropinių medžiagų nedidelio, didelio ir labai didelio kiekio nustatymo rekomendacijos </w:t>
      </w:r>
      <w:r w:rsidR="003D0AC0">
        <w:t xml:space="preserve">(toliau – ir Rekomendacijos) </w:t>
      </w:r>
      <w:r w:rsidRPr="00DD2BC2">
        <w:t>prieštarauja Konstitucijos 20 straipsnio 2 daliai, Konstitucijoje įtvirtintiems teisinės valstybės, teisinio tikrumo, teisinio saugumo, teisėtų lūkesčių apsaugos principams, Viešojo administravimo įstatymo 3 straipsnio 4 punkte įtvirtintam įstatymo viršenybės principui, Tarpžinybinės psichoaktyvų efektą sukeliančių medžiagų rizikos vertinimo komisijos darbo reglamento</w:t>
      </w:r>
      <w:r w:rsidR="00DC7F4D">
        <w:t xml:space="preserve"> (toliau – ir Reglamentas)</w:t>
      </w:r>
      <w:r w:rsidRPr="00DD2BC2">
        <w:t>, patvirtinto Narkotikų, tabako ir alkoholio kontrolės departamento direktoriaus 2011 m. gegužės 10 d. įsakymu Nr. T1-90 „Dėl Tarpžinybinės psichoaktyvų efektą sukeliančių medžiagų rizikos vertinimo komisijos sudarymo ir jos darbo reglamento patvirtinimo“</w:t>
      </w:r>
      <w:r w:rsidR="003D0AC0">
        <w:t xml:space="preserve"> (toliau – ir Įsakymas Nr. T1-90)</w:t>
      </w:r>
      <w:r w:rsidRPr="00DD2BC2">
        <w:t>, 22</w:t>
      </w:r>
      <w:r w:rsidR="004629C2">
        <w:t> </w:t>
      </w:r>
      <w:r w:rsidRPr="00DD2BC2">
        <w:t>punktas prieštarauja Konstitucijoje įtvirtintiems teisinės valstybės, teisinio tikrumo, teisinio saugumo, teisėtų lūkesčių apsaugos principams, Viešojo administravimo įstatymo 3 straipsnio 4 punkte įtvirtintam įstatymo viršenybės principui</w:t>
      </w:r>
      <w:r w:rsidRPr="00DD2BC2">
        <w:rPr>
          <w:bCs/>
        </w:rPr>
        <w:t>.</w:t>
      </w:r>
    </w:p>
    <w:p w14:paraId="608AB887" w14:textId="02DC1EF9" w:rsidR="00890CF3" w:rsidRPr="00DD2BC2" w:rsidRDefault="00890CF3" w:rsidP="00890CF3">
      <w:pPr>
        <w:shd w:val="clear" w:color="auto" w:fill="FFFFFF"/>
        <w:ind w:right="-2" w:firstLine="709"/>
        <w:jc w:val="both"/>
      </w:pPr>
      <w:r>
        <w:rPr>
          <w:bCs/>
        </w:rPr>
        <w:lastRenderedPageBreak/>
        <w:t>Lietuvos vyriausiasis administracinis teismas 2025 m. rugpjūčio 26 d. nutartimi p</w:t>
      </w:r>
      <w:r w:rsidRPr="001A1CA3">
        <w:rPr>
          <w:bCs/>
        </w:rPr>
        <w:t>asiūl</w:t>
      </w:r>
      <w:r>
        <w:rPr>
          <w:bCs/>
        </w:rPr>
        <w:t>ė</w:t>
      </w:r>
      <w:r w:rsidRPr="001A1CA3">
        <w:rPr>
          <w:bCs/>
        </w:rPr>
        <w:t xml:space="preserve"> pareiškėjui iki 2025 m. rugsėjo 23 d. pašalinti nutartyje nurodytus pareiškimo trūkumus ir pateikti patikslintą pareiškimą.</w:t>
      </w:r>
    </w:p>
    <w:p w14:paraId="2EBD26C9" w14:textId="77777777" w:rsidR="00672712" w:rsidRPr="004629C2" w:rsidRDefault="00890CF3" w:rsidP="00F83C42">
      <w:pPr>
        <w:pStyle w:val="Sraopastraipa"/>
        <w:shd w:val="clear" w:color="auto" w:fill="FFFFFF"/>
        <w:tabs>
          <w:tab w:val="left" w:pos="851"/>
          <w:tab w:val="left" w:pos="993"/>
        </w:tabs>
        <w:ind w:left="0" w:right="-2" w:firstLine="709"/>
        <w:jc w:val="both"/>
        <w:rPr>
          <w:lang w:eastAsia="en-US"/>
        </w:rPr>
      </w:pPr>
      <w:r>
        <w:rPr>
          <w:lang w:eastAsia="en-US"/>
        </w:rPr>
        <w:t xml:space="preserve">2025 m. rugsėjo 23 d. pareiškėjas pateikė patikslintą </w:t>
      </w:r>
      <w:r w:rsidRPr="004629C2">
        <w:rPr>
          <w:lang w:eastAsia="en-US"/>
        </w:rPr>
        <w:t xml:space="preserve">pareiškimą, kuriame prašo </w:t>
      </w:r>
      <w:r w:rsidR="00672712" w:rsidRPr="004629C2">
        <w:rPr>
          <w:lang w:eastAsia="en-US"/>
        </w:rPr>
        <w:t>pripažinti, kad:</w:t>
      </w:r>
    </w:p>
    <w:p w14:paraId="66CDDD2A" w14:textId="17E97485" w:rsidR="00890CF3" w:rsidRDefault="00672712" w:rsidP="00672712">
      <w:pPr>
        <w:pStyle w:val="Sraopastraipa"/>
        <w:numPr>
          <w:ilvl w:val="0"/>
          <w:numId w:val="6"/>
        </w:numPr>
        <w:shd w:val="clear" w:color="auto" w:fill="FFFFFF"/>
        <w:tabs>
          <w:tab w:val="left" w:pos="851"/>
          <w:tab w:val="left" w:pos="993"/>
        </w:tabs>
        <w:ind w:left="0" w:right="-2" w:firstLine="709"/>
        <w:jc w:val="both"/>
        <w:rPr>
          <w:lang w:eastAsia="en-US"/>
        </w:rPr>
      </w:pPr>
      <w:r w:rsidRPr="004629C2">
        <w:rPr>
          <w:lang w:eastAsia="en-US"/>
        </w:rPr>
        <w:t>Įsakymas Nr. 5 ir juo įtvirtinti Sąrašai visa apimtimi prieštarauja Konstitucijos 5 straipsnio 2</w:t>
      </w:r>
      <w:r w:rsidR="00F83236" w:rsidRPr="004629C2">
        <w:rPr>
          <w:lang w:eastAsia="en-US"/>
        </w:rPr>
        <w:t> </w:t>
      </w:r>
      <w:r w:rsidRPr="004629C2">
        <w:rPr>
          <w:lang w:eastAsia="en-US"/>
        </w:rPr>
        <w:t>daliai, 31 straipsnio 4 daliai ir Konstitucijoje įtvirtintiems teisinės valstybės, teisinio tikrumo, teisinio saugumo, teisėtų lūkesčių apsaugos principams, Viešojo administravimo įstatymo 3</w:t>
      </w:r>
      <w:r w:rsidR="00F83236" w:rsidRPr="004629C2">
        <w:rPr>
          <w:lang w:eastAsia="en-US"/>
        </w:rPr>
        <w:t> </w:t>
      </w:r>
      <w:r w:rsidRPr="004629C2">
        <w:rPr>
          <w:lang w:eastAsia="en-US"/>
        </w:rPr>
        <w:t>straipsnio 4 punkte įtvirtintam įstatymo viršenybės principui, Teisėkūros pagrindų įstatymo 3</w:t>
      </w:r>
      <w:r w:rsidR="00F83236" w:rsidRPr="004629C2">
        <w:rPr>
          <w:lang w:eastAsia="en-US"/>
        </w:rPr>
        <w:t> </w:t>
      </w:r>
      <w:r w:rsidRPr="004629C2">
        <w:rPr>
          <w:lang w:eastAsia="en-US"/>
        </w:rPr>
        <w:t xml:space="preserve">straipsnio </w:t>
      </w:r>
      <w:r w:rsidR="00AE3B24">
        <w:rPr>
          <w:lang w:eastAsia="en-US"/>
        </w:rPr>
        <w:t xml:space="preserve">2 dalies </w:t>
      </w:r>
      <w:r w:rsidRPr="004629C2">
        <w:rPr>
          <w:lang w:eastAsia="en-US"/>
        </w:rPr>
        <w:t xml:space="preserve">5 </w:t>
      </w:r>
      <w:r w:rsidR="00A93BD4" w:rsidRPr="004629C2">
        <w:rPr>
          <w:lang w:eastAsia="en-US"/>
        </w:rPr>
        <w:t>ir</w:t>
      </w:r>
      <w:r w:rsidRPr="004629C2">
        <w:rPr>
          <w:lang w:eastAsia="en-US"/>
        </w:rPr>
        <w:t xml:space="preserve"> 6</w:t>
      </w:r>
      <w:r w:rsidR="00AE3B24">
        <w:rPr>
          <w:lang w:eastAsia="en-US"/>
        </w:rPr>
        <w:t> </w:t>
      </w:r>
      <w:r w:rsidRPr="004629C2">
        <w:rPr>
          <w:lang w:eastAsia="en-US"/>
        </w:rPr>
        <w:t>punkt</w:t>
      </w:r>
      <w:r w:rsidR="00A93BD4" w:rsidRPr="004629C2">
        <w:rPr>
          <w:lang w:eastAsia="en-US"/>
        </w:rPr>
        <w:t>ams</w:t>
      </w:r>
      <w:r w:rsidRPr="004629C2">
        <w:rPr>
          <w:lang w:eastAsia="en-US"/>
        </w:rPr>
        <w:t>, Ministrų, Vyriausybės įstaigų, įstaigų prie</w:t>
      </w:r>
      <w:r w:rsidRPr="00672712">
        <w:rPr>
          <w:lang w:eastAsia="en-US"/>
        </w:rPr>
        <w:t xml:space="preserve"> ministerijų ir kitų Vyriausybei pavaldžių ir atskaitingų viešojo administravimo subjektų norminių teisės aktų projektų rengimo taisyklių, patvirtintų Lietuvos Respublikos Vyriausybės 1994 m. rugpjūčio 11 d. nutarimu Nr.</w:t>
      </w:r>
      <w:r w:rsidR="00F83236">
        <w:rPr>
          <w:lang w:eastAsia="en-US"/>
        </w:rPr>
        <w:t> </w:t>
      </w:r>
      <w:r w:rsidRPr="00672712">
        <w:rPr>
          <w:lang w:eastAsia="en-US"/>
        </w:rPr>
        <w:t xml:space="preserve">728 „Dėl Lietuvos Respublikos Vyriausybės darbo reglamento patvirtinimo“ </w:t>
      </w:r>
      <w:r>
        <w:rPr>
          <w:lang w:eastAsia="en-US"/>
        </w:rPr>
        <w:t xml:space="preserve">(toliau – ir </w:t>
      </w:r>
      <w:r w:rsidR="00FB7BE3">
        <w:rPr>
          <w:lang w:eastAsia="en-US"/>
        </w:rPr>
        <w:t>Darbo r</w:t>
      </w:r>
      <w:r>
        <w:rPr>
          <w:lang w:eastAsia="en-US"/>
        </w:rPr>
        <w:t>eglamentas)</w:t>
      </w:r>
      <w:r w:rsidR="00E74504">
        <w:rPr>
          <w:lang w:eastAsia="en-US"/>
        </w:rPr>
        <w:t>,</w:t>
      </w:r>
      <w:r>
        <w:rPr>
          <w:lang w:eastAsia="en-US"/>
        </w:rPr>
        <w:t xml:space="preserve"> </w:t>
      </w:r>
      <w:r w:rsidRPr="00672712">
        <w:rPr>
          <w:lang w:eastAsia="en-US"/>
        </w:rPr>
        <w:t>19.4</w:t>
      </w:r>
      <w:r w:rsidR="00A93BD4">
        <w:rPr>
          <w:lang w:eastAsia="en-US"/>
        </w:rPr>
        <w:t> </w:t>
      </w:r>
      <w:r w:rsidRPr="00672712">
        <w:rPr>
          <w:lang w:eastAsia="en-US"/>
        </w:rPr>
        <w:t>p</w:t>
      </w:r>
      <w:r>
        <w:rPr>
          <w:lang w:eastAsia="en-US"/>
        </w:rPr>
        <w:t>unktui;</w:t>
      </w:r>
    </w:p>
    <w:p w14:paraId="58A0EDAD" w14:textId="565F0E6E" w:rsidR="00672712" w:rsidRPr="004629C2" w:rsidRDefault="00672712" w:rsidP="00672712">
      <w:pPr>
        <w:pStyle w:val="Sraopastraipa"/>
        <w:numPr>
          <w:ilvl w:val="0"/>
          <w:numId w:val="6"/>
        </w:numPr>
        <w:shd w:val="clear" w:color="auto" w:fill="FFFFFF"/>
        <w:tabs>
          <w:tab w:val="left" w:pos="851"/>
          <w:tab w:val="left" w:pos="993"/>
        </w:tabs>
        <w:ind w:left="0" w:right="-2" w:firstLine="709"/>
        <w:jc w:val="both"/>
        <w:rPr>
          <w:lang w:eastAsia="en-US"/>
        </w:rPr>
      </w:pPr>
      <w:r w:rsidRPr="00672712">
        <w:rPr>
          <w:lang w:eastAsia="en-US"/>
        </w:rPr>
        <w:t>Įsakymo Nr. 5 2</w:t>
      </w:r>
      <w:r w:rsidRPr="00672712">
        <w:rPr>
          <w:vertAlign w:val="superscript"/>
          <w:lang w:eastAsia="en-US"/>
        </w:rPr>
        <w:t>1</w:t>
      </w:r>
      <w:r w:rsidRPr="00672712">
        <w:rPr>
          <w:lang w:eastAsia="en-US"/>
        </w:rPr>
        <w:t xml:space="preserve"> </w:t>
      </w:r>
      <w:r w:rsidRPr="004629C2">
        <w:rPr>
          <w:lang w:eastAsia="en-US"/>
        </w:rPr>
        <w:t>punktas prieštarauja Konstitucijos 135 straipsnio 1 daliai, Viešojo administravimo įstatymo 3 straipsnio 4 punkte įtvirtintam įstatymo viršenybės principui;</w:t>
      </w:r>
    </w:p>
    <w:p w14:paraId="4004A229" w14:textId="7227D0E1" w:rsidR="00672712" w:rsidRPr="004629C2" w:rsidRDefault="00672712" w:rsidP="00672712">
      <w:pPr>
        <w:pStyle w:val="Sraopastraipa"/>
        <w:numPr>
          <w:ilvl w:val="0"/>
          <w:numId w:val="6"/>
        </w:numPr>
        <w:shd w:val="clear" w:color="auto" w:fill="FFFFFF"/>
        <w:tabs>
          <w:tab w:val="left" w:pos="851"/>
          <w:tab w:val="left" w:pos="993"/>
        </w:tabs>
        <w:ind w:left="0" w:right="-2" w:firstLine="709"/>
        <w:jc w:val="both"/>
        <w:rPr>
          <w:lang w:eastAsia="en-US"/>
        </w:rPr>
      </w:pPr>
      <w:r w:rsidRPr="004629C2">
        <w:rPr>
          <w:lang w:eastAsia="en-US"/>
        </w:rPr>
        <w:t xml:space="preserve">Įsakymas Nr. V-239 ir juo nustatytos Rekomendacijos visa apimtimi prieštarauja Konstitucijos 5 straipsnio 2 daliai, 31 straipsnio 4 daliai ir Konstitucijoje įtvirtintiems teisinės valstybės, teisinio tikrumo, teisinio saugumo, teisėtų lūkesčių apsaugos principams, Viešojo administravimo įstatymo 3 straipsnio 4 punkte įtvirtintam įstatymo viršenybės principui, Teisėkūros pagrindų įstatymo 3 straipsnio </w:t>
      </w:r>
      <w:r w:rsidR="00AE3B24">
        <w:rPr>
          <w:lang w:eastAsia="en-US"/>
        </w:rPr>
        <w:t xml:space="preserve">2 dalies </w:t>
      </w:r>
      <w:r w:rsidRPr="004629C2">
        <w:rPr>
          <w:lang w:eastAsia="en-US"/>
        </w:rPr>
        <w:t xml:space="preserve">5 </w:t>
      </w:r>
      <w:r w:rsidR="00A93BD4" w:rsidRPr="004629C2">
        <w:rPr>
          <w:lang w:eastAsia="en-US"/>
        </w:rPr>
        <w:t>ir</w:t>
      </w:r>
      <w:r w:rsidRPr="004629C2">
        <w:rPr>
          <w:lang w:eastAsia="en-US"/>
        </w:rPr>
        <w:t xml:space="preserve"> 6 punkt</w:t>
      </w:r>
      <w:r w:rsidR="00A93BD4" w:rsidRPr="004629C2">
        <w:rPr>
          <w:lang w:eastAsia="en-US"/>
        </w:rPr>
        <w:t>ams</w:t>
      </w:r>
      <w:r w:rsidRPr="004629C2">
        <w:rPr>
          <w:lang w:eastAsia="en-US"/>
        </w:rPr>
        <w:t xml:space="preserve">, </w:t>
      </w:r>
      <w:r w:rsidR="00FB7BE3">
        <w:rPr>
          <w:lang w:eastAsia="en-US"/>
        </w:rPr>
        <w:t>Darbo r</w:t>
      </w:r>
      <w:r w:rsidRPr="004629C2">
        <w:rPr>
          <w:lang w:eastAsia="en-US"/>
        </w:rPr>
        <w:t>eglamento 19.4 punktui;</w:t>
      </w:r>
    </w:p>
    <w:p w14:paraId="0F3FA86E" w14:textId="1E3FF03B" w:rsidR="00672712" w:rsidRPr="004629C2" w:rsidRDefault="00672712" w:rsidP="00672712">
      <w:pPr>
        <w:pStyle w:val="Sraopastraipa"/>
        <w:numPr>
          <w:ilvl w:val="0"/>
          <w:numId w:val="6"/>
        </w:numPr>
        <w:shd w:val="clear" w:color="auto" w:fill="FFFFFF"/>
        <w:tabs>
          <w:tab w:val="left" w:pos="851"/>
          <w:tab w:val="left" w:pos="993"/>
        </w:tabs>
        <w:ind w:left="0" w:right="-2" w:firstLine="709"/>
        <w:jc w:val="both"/>
        <w:rPr>
          <w:lang w:eastAsia="en-US"/>
        </w:rPr>
      </w:pPr>
      <w:r w:rsidRPr="004629C2">
        <w:rPr>
          <w:lang w:eastAsia="en-US"/>
        </w:rPr>
        <w:t>Reglamento, kuris patvirtintas Įsakymu Nr. T1-90, 22 punktas prieštarauja Teisėkūros pagrindų įstatymo 3 straipsnio</w:t>
      </w:r>
      <w:r w:rsidR="00AE3B24">
        <w:rPr>
          <w:lang w:eastAsia="en-US"/>
        </w:rPr>
        <w:t xml:space="preserve"> </w:t>
      </w:r>
      <w:r w:rsidR="00AE3B24">
        <w:rPr>
          <w:lang w:eastAsia="en-US"/>
        </w:rPr>
        <w:t>2 dalies</w:t>
      </w:r>
      <w:r w:rsidRPr="004629C2">
        <w:rPr>
          <w:lang w:eastAsia="en-US"/>
        </w:rPr>
        <w:t xml:space="preserve"> 5 ir 6 punktams.</w:t>
      </w:r>
    </w:p>
    <w:p w14:paraId="5ABCCB03" w14:textId="29602590" w:rsidR="00686496" w:rsidRDefault="00686496" w:rsidP="00686496">
      <w:pPr>
        <w:shd w:val="clear" w:color="auto" w:fill="FFFFFF"/>
        <w:tabs>
          <w:tab w:val="left" w:pos="851"/>
          <w:tab w:val="left" w:pos="993"/>
        </w:tabs>
        <w:ind w:right="-2"/>
        <w:jc w:val="both"/>
        <w:rPr>
          <w:lang w:eastAsia="en-US"/>
        </w:rPr>
      </w:pPr>
      <w:r>
        <w:rPr>
          <w:lang w:eastAsia="en-US"/>
        </w:rPr>
        <w:tab/>
        <w:t>Pažymėtina, kad pagal Lietuvos Respublikos administracinių bylų teisenos įstatymo (toliau – ir ABTĮ) 24 straipsnio 2 dalies 7 punktą pareiškime, be kita ko, turi būti nurodytos aplinkybės, kuriomis pareiškėjas grindžia savo reikalavimą. Lietuvos vyriausiojo administracinio teismo praktikoje nuosekliai laikomasi pozicijos, kad pareiškime dėl norminio akto teisėtumo ištyrimo turi būti išdėstyti argumentai ir motyvai, pagrindžiantys abejonę akto teisėtumu; pareiškėjas privalo aiškiai nurodyti, kokios tikrinamo norminio akto nuostatos, kokia apimtimi prieštarauja įstatymui ar Vyriausybės norminiam aktui, ir savo poziciją dėl kiekvienos ginčijamo norminio administracinio akto (jo dalies) nuostatos atitikties įstatymui ar Vyriausybės norminiam aktui turi pagrįsti aiškiai suformuluotais teisiniais argumentais. Pareiškėjas, formuluodamas teisinius argumentus, keliančius abejonių norminio administracinio akto teisėtumu, turi išnagrinėti tiek atitinkamo norminio administracinio akto (jo dalies) turinį, tiek aukštesnės galios teisės akto (įstatymo ar Vyriausybės norminio akto) turinį ir pateikti savo konkrečią nuomonę dėl prieštaravimų tarp šių aktų (pvz., žr. Lietuvos vyriausiojo administracinio teismo 2012 m. balandžio 23</w:t>
      </w:r>
      <w:r w:rsidR="00FB7BE3">
        <w:rPr>
          <w:lang w:eastAsia="en-US"/>
        </w:rPr>
        <w:t> </w:t>
      </w:r>
      <w:r>
        <w:rPr>
          <w:lang w:eastAsia="en-US"/>
        </w:rPr>
        <w:t>d. nutartį administracinėje byloje Nr. A</w:t>
      </w:r>
      <w:r w:rsidRPr="00FB7BE3">
        <w:rPr>
          <w:vertAlign w:val="superscript"/>
          <w:lang w:eastAsia="en-US"/>
        </w:rPr>
        <w:t>442</w:t>
      </w:r>
      <w:r>
        <w:rPr>
          <w:lang w:eastAsia="en-US"/>
        </w:rPr>
        <w:t>-1503/2012, 2019 m. vasario 14 d. nutartį administracinėje byloje Nr. eI-7-624/2019).</w:t>
      </w:r>
    </w:p>
    <w:p w14:paraId="0656195A" w14:textId="77777777" w:rsidR="00686496" w:rsidRDefault="00686496" w:rsidP="00686496">
      <w:pPr>
        <w:shd w:val="clear" w:color="auto" w:fill="FFFFFF"/>
        <w:tabs>
          <w:tab w:val="left" w:pos="851"/>
          <w:tab w:val="left" w:pos="993"/>
        </w:tabs>
        <w:ind w:right="-2"/>
        <w:jc w:val="both"/>
        <w:rPr>
          <w:lang w:eastAsia="en-US"/>
        </w:rPr>
      </w:pPr>
      <w:r>
        <w:rPr>
          <w:lang w:eastAsia="en-US"/>
        </w:rPr>
        <w:tab/>
        <w:t>Atkreiptinas dėmesys, kad Lietuvos vyriausiasis administracinis teismas ne kartą yra konstatavęs, jog norminio akto (jo dalies) teisėtumo tyrimo ribos paprastai yra identifikuojamos pagal pareiškimą (prašymą) pateikusių pareiškėjų nurodytas konkrečias aplinkybes (argumentus), ypač tuomet, kai prašoma įvertinti norminio akto nuostatų atitiktį bendriesiems teisės (teisinio reguliavimo, viešo administravimo, teisėkūros) principams ir (ar) bendrosioms įstatymuose ir (ar) kituose teisės aktuose nurodytoms taisyklėms. Aptariamos aplinkybės (argumentai) turi būti konkrečios, aiškios, rodančios ryšį tarp norminio administracinio akto (jo dalies) ir minėtų bendrų principų bei reikalavimų, kurių atitikčiai prašoma ištirti šį aktą (jo dalį). Jos (aplinkybės, argumentai) turi būti susijusios su prašomo atlikti tyrimo objektu, leisti proceso šalims ir teismui nustatyti bei apibrėžti administracinės bylos dalyką ir nagrinėjimo ribas (2015 m. rugsėjo 3 d. nutartį administracinėje byloje Nr. eA-2096-502/2015).</w:t>
      </w:r>
    </w:p>
    <w:p w14:paraId="0DCCCC1F" w14:textId="0C66DE64" w:rsidR="00FB7BE3" w:rsidRPr="004629C2" w:rsidRDefault="00686496" w:rsidP="00FB7BE3">
      <w:pPr>
        <w:shd w:val="clear" w:color="auto" w:fill="FFFFFF"/>
        <w:tabs>
          <w:tab w:val="left" w:pos="851"/>
          <w:tab w:val="left" w:pos="993"/>
        </w:tabs>
        <w:ind w:right="-2"/>
        <w:jc w:val="both"/>
        <w:rPr>
          <w:lang w:eastAsia="en-US"/>
        </w:rPr>
      </w:pPr>
      <w:r>
        <w:rPr>
          <w:lang w:eastAsia="en-US"/>
        </w:rPr>
        <w:tab/>
        <w:t>Pareiškėjas patikslintame pareiškime</w:t>
      </w:r>
      <w:r w:rsidR="00FB7BE3">
        <w:rPr>
          <w:lang w:eastAsia="en-US"/>
        </w:rPr>
        <w:t xml:space="preserve"> prašo pripažinti, kad </w:t>
      </w:r>
      <w:r w:rsidR="00FB7BE3" w:rsidRPr="004629C2">
        <w:rPr>
          <w:lang w:eastAsia="en-US"/>
        </w:rPr>
        <w:t xml:space="preserve">Reglamento, kuris patvirtintas Įsakymu Nr. T1-90, 22 punktas prieštarauja Teisėkūros pagrindų įstatymo 3 straipsnio </w:t>
      </w:r>
      <w:r w:rsidR="00AE3B24">
        <w:rPr>
          <w:lang w:eastAsia="en-US"/>
        </w:rPr>
        <w:t xml:space="preserve">2 dalies </w:t>
      </w:r>
      <w:r w:rsidR="00FB7BE3" w:rsidRPr="004629C2">
        <w:rPr>
          <w:lang w:eastAsia="en-US"/>
        </w:rPr>
        <w:t>5 ir 6</w:t>
      </w:r>
      <w:r w:rsidR="00AE3B24">
        <w:rPr>
          <w:lang w:eastAsia="en-US"/>
        </w:rPr>
        <w:t> </w:t>
      </w:r>
      <w:r w:rsidR="00FB7BE3" w:rsidRPr="004629C2">
        <w:rPr>
          <w:lang w:eastAsia="en-US"/>
        </w:rPr>
        <w:t>punktams.</w:t>
      </w:r>
    </w:p>
    <w:p w14:paraId="7122F985" w14:textId="3FB774EB" w:rsidR="00686496" w:rsidRDefault="00686496" w:rsidP="00686496">
      <w:pPr>
        <w:shd w:val="clear" w:color="auto" w:fill="FFFFFF"/>
        <w:tabs>
          <w:tab w:val="left" w:pos="851"/>
          <w:tab w:val="left" w:pos="993"/>
        </w:tabs>
        <w:ind w:right="-2"/>
        <w:jc w:val="both"/>
        <w:rPr>
          <w:lang w:eastAsia="en-US"/>
        </w:rPr>
      </w:pPr>
      <w:r>
        <w:rPr>
          <w:lang w:eastAsia="en-US"/>
        </w:rPr>
        <w:tab/>
      </w:r>
      <w:r w:rsidR="00866D25">
        <w:rPr>
          <w:lang w:eastAsia="en-US"/>
        </w:rPr>
        <w:t xml:space="preserve">Dėl </w:t>
      </w:r>
      <w:r w:rsidR="00866D25" w:rsidRPr="004629C2">
        <w:rPr>
          <w:lang w:eastAsia="en-US"/>
        </w:rPr>
        <w:t>Reglamento, kuris patvirtintas Įsakymu Nr. T1-90, 22 punkt</w:t>
      </w:r>
      <w:r w:rsidR="00866D25">
        <w:rPr>
          <w:lang w:eastAsia="en-US"/>
        </w:rPr>
        <w:t xml:space="preserve">o atitikties </w:t>
      </w:r>
      <w:r w:rsidR="00866D25" w:rsidRPr="004629C2">
        <w:rPr>
          <w:lang w:eastAsia="en-US"/>
        </w:rPr>
        <w:t xml:space="preserve">Teisėkūros pagrindų įstatymo 3 straipsnio </w:t>
      </w:r>
      <w:r w:rsidR="00AE3B24">
        <w:rPr>
          <w:lang w:eastAsia="en-US"/>
        </w:rPr>
        <w:t xml:space="preserve">2 dalies </w:t>
      </w:r>
      <w:r w:rsidR="00866D25" w:rsidRPr="004629C2">
        <w:rPr>
          <w:lang w:eastAsia="en-US"/>
        </w:rPr>
        <w:t>5 ir 6 punktams</w:t>
      </w:r>
      <w:r w:rsidR="00866D25">
        <w:rPr>
          <w:lang w:eastAsia="en-US"/>
        </w:rPr>
        <w:t xml:space="preserve"> pareiškėjas nurodė, kad nėra aišku, kuo remiantis</w:t>
      </w:r>
      <w:r w:rsidR="00812F65">
        <w:rPr>
          <w:lang w:eastAsia="en-US"/>
        </w:rPr>
        <w:t xml:space="preserve"> </w:t>
      </w:r>
      <w:r w:rsidR="00812F65" w:rsidRPr="00DD2BC2">
        <w:t>Tarpžinybinės psichoaktyvų efektą sukeliančių medžiagų rizikos vertinimo</w:t>
      </w:r>
      <w:r w:rsidR="00866D25">
        <w:rPr>
          <w:lang w:eastAsia="en-US"/>
        </w:rPr>
        <w:t xml:space="preserve"> </w:t>
      </w:r>
      <w:r w:rsidR="00812F65">
        <w:rPr>
          <w:lang w:eastAsia="en-US"/>
        </w:rPr>
        <w:t>k</w:t>
      </w:r>
      <w:r w:rsidR="00866D25">
        <w:rPr>
          <w:lang w:eastAsia="en-US"/>
        </w:rPr>
        <w:t>omisija priima sprendimus ir ar nuosekliai įvertina visus</w:t>
      </w:r>
      <w:r w:rsidR="0005623D">
        <w:rPr>
          <w:lang w:eastAsia="en-US"/>
        </w:rPr>
        <w:t xml:space="preserve"> Reglamento</w:t>
      </w:r>
      <w:r w:rsidR="00866D25">
        <w:rPr>
          <w:lang w:eastAsia="en-US"/>
        </w:rPr>
        <w:t xml:space="preserve"> </w:t>
      </w:r>
      <w:r w:rsidR="00866D25">
        <w:rPr>
          <w:lang w:val="en-US" w:eastAsia="en-US"/>
        </w:rPr>
        <w:t>22</w:t>
      </w:r>
      <w:r w:rsidR="00866D25">
        <w:rPr>
          <w:lang w:eastAsia="en-US"/>
        </w:rPr>
        <w:t xml:space="preserve"> punkte nurodytus kriterijus; tai lemia, kad dėl psichoaktyvių medžiagų ir jų kiekio nustatymo priimti </w:t>
      </w:r>
      <w:r w:rsidR="00812F65">
        <w:rPr>
          <w:lang w:eastAsia="en-US"/>
        </w:rPr>
        <w:t>minėtos k</w:t>
      </w:r>
      <w:r w:rsidR="00866D25">
        <w:rPr>
          <w:lang w:eastAsia="en-US"/>
        </w:rPr>
        <w:t xml:space="preserve">omisijos sprendimai gali būti </w:t>
      </w:r>
      <w:r w:rsidR="00866D25">
        <w:rPr>
          <w:lang w:eastAsia="en-US"/>
        </w:rPr>
        <w:lastRenderedPageBreak/>
        <w:t xml:space="preserve">neišsamūs, neteisingi, nesąžiningi ir neproporcingi. </w:t>
      </w:r>
      <w:r w:rsidR="00BE7CCC">
        <w:rPr>
          <w:lang w:eastAsia="en-US"/>
        </w:rPr>
        <w:t xml:space="preserve">Teisėjų kolegijos vertinimu, </w:t>
      </w:r>
      <w:r>
        <w:rPr>
          <w:lang w:eastAsia="en-US"/>
        </w:rPr>
        <w:t xml:space="preserve">pareiškėjas patikslintame pareiškime nurodė bendro pobūdžio </w:t>
      </w:r>
      <w:r w:rsidR="00BE7CCC">
        <w:rPr>
          <w:lang w:eastAsia="en-US"/>
        </w:rPr>
        <w:t>argumentus</w:t>
      </w:r>
      <w:r>
        <w:rPr>
          <w:lang w:eastAsia="en-US"/>
        </w:rPr>
        <w:t xml:space="preserve"> </w:t>
      </w:r>
      <w:r w:rsidR="0005623D">
        <w:rPr>
          <w:lang w:eastAsia="en-US"/>
        </w:rPr>
        <w:t xml:space="preserve">ir hipotetinio pobūdžio pasvarstymus </w:t>
      </w:r>
      <w:r>
        <w:rPr>
          <w:lang w:eastAsia="en-US"/>
        </w:rPr>
        <w:t xml:space="preserve">šiuo klausimu, tačiau </w:t>
      </w:r>
      <w:r w:rsidR="00BE7CCC">
        <w:rPr>
          <w:lang w:eastAsia="en-US"/>
        </w:rPr>
        <w:t xml:space="preserve">aiškiai neapibrėžė ginčijamo reguliavimo apimties, todėl ši pareiškėjo patikslinto pareiškimo dalis laikytina netinkamai apibrėžta ir </w:t>
      </w:r>
      <w:r>
        <w:rPr>
          <w:lang w:eastAsia="en-US"/>
        </w:rPr>
        <w:t>neatitinka</w:t>
      </w:r>
      <w:r w:rsidR="00BE7CCC">
        <w:rPr>
          <w:lang w:eastAsia="en-US"/>
        </w:rPr>
        <w:t>nti</w:t>
      </w:r>
      <w:r>
        <w:rPr>
          <w:lang w:eastAsia="en-US"/>
        </w:rPr>
        <w:t xml:space="preserve"> pirmiau išdėstytų </w:t>
      </w:r>
      <w:r w:rsidR="0005623D">
        <w:rPr>
          <w:lang w:eastAsia="en-US"/>
        </w:rPr>
        <w:t>ABTĮ</w:t>
      </w:r>
      <w:r>
        <w:rPr>
          <w:lang w:eastAsia="en-US"/>
        </w:rPr>
        <w:t xml:space="preserve"> reikalavimų.</w:t>
      </w:r>
    </w:p>
    <w:p w14:paraId="28426C4A" w14:textId="57C8011A" w:rsidR="00ED211F" w:rsidRPr="00DD2BC2" w:rsidRDefault="00686496" w:rsidP="00ED211F">
      <w:pPr>
        <w:shd w:val="clear" w:color="auto" w:fill="FFFFFF"/>
        <w:ind w:right="-2" w:firstLine="709"/>
        <w:jc w:val="both"/>
        <w:rPr>
          <w:lang w:bidi="lt-LT"/>
        </w:rPr>
      </w:pPr>
      <w:r>
        <w:rPr>
          <w:lang w:eastAsia="en-US"/>
        </w:rPr>
        <w:t>ABTĮ 116 straipsnio 1 dalis nustato, kad bylos dėl norminių administracinių aktų teisėtumo nagrinėjamos pagal bendrąsias šiame įstatyme nustatytas proceso taisykles. Vadovaujantis ABTĮ 33</w:t>
      </w:r>
      <w:r w:rsidR="009543F0">
        <w:rPr>
          <w:lang w:eastAsia="en-US"/>
        </w:rPr>
        <w:t> </w:t>
      </w:r>
      <w:r>
        <w:rPr>
          <w:lang w:eastAsia="en-US"/>
        </w:rPr>
        <w:t>straipsnio 1 dalimi, jeigu per teismo nustatytą terminą trūkumai nepašalinami, skundas (prašymas, pareiškimas) laikomas nepaduotu ir teisėjo nutartimi grąžinamas pareiškėjui. Todėl</w:t>
      </w:r>
      <w:r w:rsidR="00B72286">
        <w:rPr>
          <w:lang w:eastAsia="en-US"/>
        </w:rPr>
        <w:t>,</w:t>
      </w:r>
      <w:r>
        <w:rPr>
          <w:lang w:eastAsia="en-US"/>
        </w:rPr>
        <w:t xml:space="preserve"> atsižvelgiant į tai, kad nagrinėjamu atveju pareiškėjas pašalino ne visus Lietuvos vyriausiojo administracinio teismo </w:t>
      </w:r>
      <w:r w:rsidR="009543F0">
        <w:rPr>
          <w:bCs/>
        </w:rPr>
        <w:t xml:space="preserve">2025 m. rugpjūčio 26 d. </w:t>
      </w:r>
      <w:r>
        <w:rPr>
          <w:lang w:eastAsia="en-US"/>
        </w:rPr>
        <w:t xml:space="preserve">nutartyje nustatytus trūkumus, </w:t>
      </w:r>
      <w:r w:rsidR="00812F65">
        <w:rPr>
          <w:lang w:eastAsia="en-US"/>
        </w:rPr>
        <w:t>pareiškėjo</w:t>
      </w:r>
      <w:r>
        <w:rPr>
          <w:lang w:eastAsia="en-US"/>
        </w:rPr>
        <w:t xml:space="preserve"> patikslinto pareiškimo dalis dėl </w:t>
      </w:r>
      <w:r w:rsidR="009543F0" w:rsidRPr="004629C2">
        <w:rPr>
          <w:lang w:eastAsia="en-US"/>
        </w:rPr>
        <w:t>Reglamento, kuris patvirtintas Įsakymu Nr. T1-90, 22 punkt</w:t>
      </w:r>
      <w:r w:rsidR="009543F0">
        <w:rPr>
          <w:lang w:eastAsia="en-US"/>
        </w:rPr>
        <w:t>o</w:t>
      </w:r>
      <w:r w:rsidR="009543F0" w:rsidRPr="004629C2">
        <w:rPr>
          <w:lang w:eastAsia="en-US"/>
        </w:rPr>
        <w:t xml:space="preserve"> prieštara</w:t>
      </w:r>
      <w:r w:rsidR="009543F0">
        <w:rPr>
          <w:lang w:eastAsia="en-US"/>
        </w:rPr>
        <w:t>vimo</w:t>
      </w:r>
      <w:r w:rsidR="009543F0" w:rsidRPr="004629C2">
        <w:rPr>
          <w:lang w:eastAsia="en-US"/>
        </w:rPr>
        <w:t xml:space="preserve"> Teisėkūros pagrindų įstatymo 3 straipsnio </w:t>
      </w:r>
      <w:r w:rsidR="00AE3B24">
        <w:rPr>
          <w:lang w:eastAsia="en-US"/>
        </w:rPr>
        <w:t xml:space="preserve">2 dalies </w:t>
      </w:r>
      <w:r w:rsidR="009543F0" w:rsidRPr="004629C2">
        <w:rPr>
          <w:lang w:eastAsia="en-US"/>
        </w:rPr>
        <w:t>5 ir 6 punktams</w:t>
      </w:r>
      <w:r w:rsidR="009543F0">
        <w:rPr>
          <w:lang w:eastAsia="en-US"/>
        </w:rPr>
        <w:t xml:space="preserve"> </w:t>
      </w:r>
      <w:r>
        <w:rPr>
          <w:lang w:eastAsia="en-US"/>
        </w:rPr>
        <w:t>laikoma nepaduota (ABTĮ 33</w:t>
      </w:r>
      <w:r w:rsidR="009543F0">
        <w:rPr>
          <w:lang w:eastAsia="en-US"/>
        </w:rPr>
        <w:t> </w:t>
      </w:r>
      <w:r>
        <w:rPr>
          <w:lang w:eastAsia="en-US"/>
        </w:rPr>
        <w:t>str. 1 d., 116 str. 1 d.).</w:t>
      </w:r>
      <w:r w:rsidR="00ED211F" w:rsidRPr="00ED211F">
        <w:rPr>
          <w:lang w:bidi="lt-LT"/>
        </w:rPr>
        <w:t xml:space="preserve"> </w:t>
      </w:r>
      <w:r w:rsidR="00ED211F" w:rsidRPr="00DD2BC2">
        <w:rPr>
          <w:lang w:bidi="lt-LT"/>
        </w:rPr>
        <w:t>Be to, pareiškėjas kartu su pareiškimu</w:t>
      </w:r>
      <w:r w:rsidR="00812F65">
        <w:rPr>
          <w:lang w:bidi="lt-LT"/>
        </w:rPr>
        <w:t xml:space="preserve"> nepateikė</w:t>
      </w:r>
      <w:r w:rsidR="00ED211F" w:rsidRPr="00DD2BC2">
        <w:rPr>
          <w:lang w:bidi="lt-LT"/>
        </w:rPr>
        <w:t xml:space="preserve"> </w:t>
      </w:r>
      <w:r w:rsidR="00ED211F" w:rsidRPr="00DD2BC2">
        <w:t>Reglamento, patvirtinto Įsakymu Nr.</w:t>
      </w:r>
      <w:r w:rsidR="0005623D">
        <w:t> </w:t>
      </w:r>
      <w:r w:rsidR="00ED211F" w:rsidRPr="00DD2BC2">
        <w:t xml:space="preserve">T1-90, </w:t>
      </w:r>
      <w:r w:rsidR="0005623D">
        <w:t xml:space="preserve">aktualios redakcijos </w:t>
      </w:r>
      <w:r w:rsidR="00ED211F" w:rsidRPr="00DD2BC2">
        <w:t>kopijos (ABTĮ 112 str. 3 d.).</w:t>
      </w:r>
    </w:p>
    <w:p w14:paraId="44E43317" w14:textId="7C0D24DF" w:rsidR="00DE2F4E" w:rsidRPr="004629C2" w:rsidRDefault="00484303" w:rsidP="00F83C42">
      <w:pPr>
        <w:pStyle w:val="Sraopastraipa"/>
        <w:shd w:val="clear" w:color="auto" w:fill="FFFFFF"/>
        <w:tabs>
          <w:tab w:val="left" w:pos="851"/>
          <w:tab w:val="left" w:pos="993"/>
        </w:tabs>
        <w:ind w:left="0" w:right="-2" w:firstLine="709"/>
        <w:jc w:val="both"/>
        <w:rPr>
          <w:lang w:eastAsia="en-US"/>
        </w:rPr>
      </w:pPr>
      <w:r>
        <w:rPr>
          <w:lang w:eastAsia="en-US"/>
        </w:rPr>
        <w:t>Kita p</w:t>
      </w:r>
      <w:r w:rsidR="00DE2F4E" w:rsidRPr="004629C2">
        <w:rPr>
          <w:lang w:eastAsia="en-US"/>
        </w:rPr>
        <w:t>areiškėj</w:t>
      </w:r>
      <w:r>
        <w:rPr>
          <w:lang w:eastAsia="en-US"/>
        </w:rPr>
        <w:t>o patikslinto</w:t>
      </w:r>
      <w:r w:rsidR="00DE2F4E" w:rsidRPr="004629C2">
        <w:rPr>
          <w:lang w:eastAsia="en-US"/>
        </w:rPr>
        <w:t xml:space="preserve"> pareiškim</w:t>
      </w:r>
      <w:r>
        <w:rPr>
          <w:lang w:eastAsia="en-US"/>
        </w:rPr>
        <w:t>o dalis</w:t>
      </w:r>
      <w:r w:rsidR="00DE2F4E" w:rsidRPr="004629C2">
        <w:rPr>
          <w:lang w:eastAsia="en-US"/>
        </w:rPr>
        <w:t xml:space="preserve"> iš esmės atitinka </w:t>
      </w:r>
      <w:r w:rsidR="006669C2">
        <w:rPr>
          <w:lang w:eastAsia="en-US"/>
        </w:rPr>
        <w:t>ABTĮ</w:t>
      </w:r>
      <w:r w:rsidR="00DE2F4E" w:rsidRPr="004629C2">
        <w:rPr>
          <w:color w:val="000000"/>
        </w:rPr>
        <w:t xml:space="preserve"> </w:t>
      </w:r>
      <w:r w:rsidR="00DE2F4E" w:rsidRPr="004629C2">
        <w:rPr>
          <w:lang w:eastAsia="en-US"/>
        </w:rPr>
        <w:t>reikalavimus, todėl</w:t>
      </w:r>
      <w:r>
        <w:rPr>
          <w:lang w:eastAsia="en-US"/>
        </w:rPr>
        <w:t xml:space="preserve"> ji</w:t>
      </w:r>
      <w:r w:rsidR="00DE2F4E" w:rsidRPr="004629C2">
        <w:rPr>
          <w:lang w:eastAsia="en-US"/>
        </w:rPr>
        <w:t xml:space="preserve"> priimtina nagrinėti Lietuvos vyriausiajame administraciniame teisme.</w:t>
      </w:r>
    </w:p>
    <w:p w14:paraId="42EB3E92" w14:textId="207EC993" w:rsidR="00DE2F4E" w:rsidRPr="00542FA2" w:rsidRDefault="00DE2F4E" w:rsidP="00F83C42">
      <w:pPr>
        <w:shd w:val="clear" w:color="auto" w:fill="FFFFFF"/>
        <w:ind w:right="-2" w:firstLine="709"/>
        <w:jc w:val="both"/>
        <w:rPr>
          <w:lang w:eastAsia="en-US"/>
        </w:rPr>
      </w:pPr>
      <w:r w:rsidRPr="004629C2">
        <w:t>Atsakovu šioje byloje laikytina pr</w:t>
      </w:r>
      <w:r w:rsidRPr="00DE2F4E">
        <w:t>ašom</w:t>
      </w:r>
      <w:r w:rsidR="00484303">
        <w:t>us</w:t>
      </w:r>
      <w:r w:rsidRPr="00DE2F4E">
        <w:t xml:space="preserve"> patikrinti normin</w:t>
      </w:r>
      <w:r w:rsidR="00484303">
        <w:t>us</w:t>
      </w:r>
      <w:r w:rsidRPr="00DE2F4E">
        <w:t xml:space="preserve"> administracin</w:t>
      </w:r>
      <w:r w:rsidR="00484303">
        <w:t>ius</w:t>
      </w:r>
      <w:r w:rsidRPr="00DE2F4E">
        <w:t xml:space="preserve"> akt</w:t>
      </w:r>
      <w:r w:rsidR="00484303">
        <w:t>us</w:t>
      </w:r>
      <w:r w:rsidRPr="00DE2F4E">
        <w:t xml:space="preserve"> priėmusi institucija – Lietuvos Respublikos </w:t>
      </w:r>
      <w:r>
        <w:t>sveikatos apsaugos</w:t>
      </w:r>
      <w:r w:rsidRPr="00DE2F4E">
        <w:t xml:space="preserve"> ministerija. </w:t>
      </w:r>
      <w:r w:rsidRPr="00542FA2">
        <w:rPr>
          <w:lang w:eastAsia="en-US"/>
        </w:rPr>
        <w:t>Atsakovui siųstinos šios nutarties ir pareiškėj</w:t>
      </w:r>
      <w:r w:rsidR="00484303">
        <w:rPr>
          <w:lang w:eastAsia="en-US"/>
        </w:rPr>
        <w:t>o patikslinto</w:t>
      </w:r>
      <w:r w:rsidRPr="00542FA2">
        <w:rPr>
          <w:lang w:eastAsia="en-US"/>
        </w:rPr>
        <w:t xml:space="preserve"> pareiškimo kopijos bei jis įpareigojamas pateikti atsiliepimą į </w:t>
      </w:r>
      <w:r w:rsidR="00CB2B64">
        <w:rPr>
          <w:lang w:eastAsia="en-US"/>
        </w:rPr>
        <w:t>pareiškėj</w:t>
      </w:r>
      <w:r w:rsidR="00484303">
        <w:rPr>
          <w:lang w:eastAsia="en-US"/>
        </w:rPr>
        <w:t>o</w:t>
      </w:r>
      <w:r w:rsidR="00CB2B64">
        <w:rPr>
          <w:lang w:eastAsia="en-US"/>
        </w:rPr>
        <w:t xml:space="preserve"> </w:t>
      </w:r>
      <w:r w:rsidRPr="00542FA2">
        <w:rPr>
          <w:lang w:eastAsia="en-US"/>
        </w:rPr>
        <w:t>pareiškimą iki 2025</w:t>
      </w:r>
      <w:r>
        <w:rPr>
          <w:lang w:eastAsia="en-US"/>
        </w:rPr>
        <w:t> </w:t>
      </w:r>
      <w:r w:rsidRPr="00542FA2">
        <w:rPr>
          <w:lang w:eastAsia="en-US"/>
        </w:rPr>
        <w:t xml:space="preserve">m. </w:t>
      </w:r>
      <w:r w:rsidR="00890CF3">
        <w:rPr>
          <w:lang w:eastAsia="en-US"/>
        </w:rPr>
        <w:t>lapkričio 3</w:t>
      </w:r>
      <w:r w:rsidRPr="00542FA2">
        <w:rPr>
          <w:lang w:eastAsia="en-US"/>
        </w:rPr>
        <w:t xml:space="preserve"> d. </w:t>
      </w:r>
      <w:r w:rsidR="002C5BB6">
        <w:t>(įskaitytinai).</w:t>
      </w:r>
    </w:p>
    <w:p w14:paraId="3C0124C3" w14:textId="55CC356A" w:rsidR="00B902E1" w:rsidRPr="00914776" w:rsidRDefault="00B902E1" w:rsidP="00DE2F4E">
      <w:pPr>
        <w:pStyle w:val="Sraopastraipa"/>
        <w:shd w:val="clear" w:color="auto" w:fill="FFFFFF"/>
        <w:tabs>
          <w:tab w:val="left" w:pos="851"/>
          <w:tab w:val="left" w:pos="993"/>
        </w:tabs>
        <w:ind w:left="0" w:right="-2" w:firstLine="709"/>
        <w:jc w:val="both"/>
        <w:rPr>
          <w:lang w:eastAsia="en-US"/>
        </w:rPr>
      </w:pPr>
    </w:p>
    <w:p w14:paraId="21926D6F" w14:textId="7897A152" w:rsidR="009A762B" w:rsidRPr="00914776" w:rsidRDefault="009A762B" w:rsidP="009A762B">
      <w:pPr>
        <w:shd w:val="clear" w:color="auto" w:fill="FFFFFF"/>
        <w:ind w:right="-2" w:firstLine="709"/>
        <w:jc w:val="both"/>
      </w:pPr>
      <w:r w:rsidRPr="00914776">
        <w:t>V</w:t>
      </w:r>
      <w:r w:rsidRPr="00914776">
        <w:rPr>
          <w:w w:val="101"/>
        </w:rPr>
        <w:t xml:space="preserve">adovaudamasi Lietuvos Respublikos administracinių bylų teisenos įstatymo 33 </w:t>
      </w:r>
      <w:r w:rsidRPr="00914776">
        <w:t xml:space="preserve">straipsnio 1 dalimi, </w:t>
      </w:r>
      <w:r w:rsidR="00BE7CCC" w:rsidRPr="00542FA2">
        <w:t xml:space="preserve">67 straipsnio 1 dalies 3 punktu, </w:t>
      </w:r>
      <w:r w:rsidRPr="00914776">
        <w:t>116 straipsnio 1 dalimi, teisėjų kolegija</w:t>
      </w:r>
    </w:p>
    <w:p w14:paraId="097CF46D" w14:textId="77777777" w:rsidR="009A762B" w:rsidRPr="00914776" w:rsidRDefault="009A762B" w:rsidP="009A762B">
      <w:pPr>
        <w:shd w:val="clear" w:color="auto" w:fill="FFFFFF"/>
        <w:ind w:right="-2" w:firstLine="709"/>
        <w:jc w:val="both"/>
      </w:pPr>
    </w:p>
    <w:p w14:paraId="19B9A1F3" w14:textId="77777777" w:rsidR="009A762B" w:rsidRPr="00914776" w:rsidRDefault="009A762B" w:rsidP="009A762B">
      <w:pPr>
        <w:shd w:val="clear" w:color="auto" w:fill="FFFFFF"/>
        <w:ind w:right="75"/>
        <w:jc w:val="both"/>
        <w:rPr>
          <w:bCs/>
        </w:rPr>
      </w:pPr>
      <w:r w:rsidRPr="00914776">
        <w:rPr>
          <w:bCs/>
        </w:rPr>
        <w:t>n u t a r i a:</w:t>
      </w:r>
    </w:p>
    <w:p w14:paraId="0186A6C9" w14:textId="77777777" w:rsidR="009A762B" w:rsidRPr="00914776" w:rsidRDefault="009A762B" w:rsidP="009A762B">
      <w:pPr>
        <w:shd w:val="clear" w:color="auto" w:fill="FFFFFF"/>
        <w:ind w:right="75" w:firstLine="709"/>
        <w:jc w:val="both"/>
        <w:rPr>
          <w:bCs/>
        </w:rPr>
      </w:pPr>
    </w:p>
    <w:p w14:paraId="517390D9" w14:textId="7FEBD807" w:rsidR="00EB6AEF" w:rsidRDefault="00EB6AEF" w:rsidP="00F83C42">
      <w:pPr>
        <w:shd w:val="clear" w:color="auto" w:fill="FFFFFF"/>
        <w:ind w:right="-2" w:firstLine="709"/>
        <w:jc w:val="both"/>
      </w:pPr>
      <w:r w:rsidRPr="00542FA2">
        <w:rPr>
          <w:bCs/>
        </w:rPr>
        <w:t>Priimti</w:t>
      </w:r>
      <w:r>
        <w:t xml:space="preserve"> pareiškėj</w:t>
      </w:r>
      <w:r w:rsidR="00890CF3">
        <w:t>o</w:t>
      </w:r>
      <w:r>
        <w:t xml:space="preserve"> Lietuvos Respublikos Seimo nari</w:t>
      </w:r>
      <w:r w:rsidR="00890CF3">
        <w:t>o</w:t>
      </w:r>
      <w:r>
        <w:t xml:space="preserve"> </w:t>
      </w:r>
      <w:r w:rsidRPr="000458CF">
        <w:t>Vitalijaus Gailiaus</w:t>
      </w:r>
      <w:r w:rsidR="00890CF3">
        <w:t xml:space="preserve"> </w:t>
      </w:r>
      <w:r>
        <w:t>pareiškimą, kuriame prašoma</w:t>
      </w:r>
      <w:r w:rsidR="00F120D6">
        <w:t xml:space="preserve"> </w:t>
      </w:r>
      <w:r w:rsidR="00812F65">
        <w:t>ištirti</w:t>
      </w:r>
      <w:r w:rsidR="00F120D6">
        <w:t xml:space="preserve">, </w:t>
      </w:r>
      <w:r w:rsidR="00812F65">
        <w:t>ar</w:t>
      </w:r>
      <w:r w:rsidR="00F120D6">
        <w:t xml:space="preserve">: </w:t>
      </w:r>
    </w:p>
    <w:p w14:paraId="71ADD61C" w14:textId="55D0061B" w:rsidR="00F120D6" w:rsidRDefault="00F120D6" w:rsidP="00B86C40">
      <w:pPr>
        <w:shd w:val="clear" w:color="auto" w:fill="FFFFFF"/>
        <w:tabs>
          <w:tab w:val="left" w:pos="1134"/>
          <w:tab w:val="left" w:pos="1418"/>
        </w:tabs>
        <w:ind w:right="-2" w:firstLine="709"/>
        <w:jc w:val="both"/>
      </w:pPr>
      <w:r>
        <w:t>1)</w:t>
      </w:r>
      <w:r>
        <w:tab/>
      </w:r>
      <w:r w:rsidRPr="00DD2BC2">
        <w:t xml:space="preserve">Lietuvos Respublikos sveikatos apsaugos ministro 2000 m. sausio 6 d. įsakymas Nr. 5 „Dėl Narkotinių ir psichotropinių medžiagų sąrašų patvirtinimo“ ir šiuo įsakymu patvirtinti Narkotinių ir psichotropinių medžiagų sąrašai </w:t>
      </w:r>
      <w:r w:rsidR="00812F65">
        <w:t>atitinka</w:t>
      </w:r>
      <w:r>
        <w:t xml:space="preserve"> Lietuvos Respublikos Konstitucijos 5 straipsnio 2 dal</w:t>
      </w:r>
      <w:r w:rsidR="00812F65">
        <w:t>į</w:t>
      </w:r>
      <w:r>
        <w:t>, 31</w:t>
      </w:r>
      <w:r w:rsidR="00812F65">
        <w:t> </w:t>
      </w:r>
      <w:r>
        <w:t>straipsnio 4 dal</w:t>
      </w:r>
      <w:r w:rsidR="00812F65">
        <w:t>į</w:t>
      </w:r>
      <w:r>
        <w:t xml:space="preserve"> ir Lietuvos Respublikos Konstitucijoje įtvirtint</w:t>
      </w:r>
      <w:r w:rsidR="00812F65">
        <w:t>u</w:t>
      </w:r>
      <w:r>
        <w:t>s teisinės valstybės, teisinio tikrumo, teisinio saugumo, teisėtų lūkesčių apsaugos princip</w:t>
      </w:r>
      <w:r w:rsidR="00812F65">
        <w:t>u</w:t>
      </w:r>
      <w:r>
        <w:t>s, Lietuvos Respublikos viešojo administravimo įstatymo 3 straipsnio 4 punkte įtvirtint</w:t>
      </w:r>
      <w:r w:rsidR="00812F65">
        <w:t>ą</w:t>
      </w:r>
      <w:r>
        <w:t xml:space="preserve"> įstatymo viršenybės princip</w:t>
      </w:r>
      <w:r w:rsidR="00812F65">
        <w:t>ą</w:t>
      </w:r>
      <w:r>
        <w:t>,</w:t>
      </w:r>
      <w:r w:rsidRPr="00F120D6">
        <w:t xml:space="preserve"> </w:t>
      </w:r>
      <w:r>
        <w:t>Lietuvos Respublikos teisėkūros pagrindų įstatymo 3 straipsnio</w:t>
      </w:r>
      <w:r w:rsidR="00AE3B24">
        <w:t xml:space="preserve"> </w:t>
      </w:r>
      <w:r w:rsidR="00AE3B24">
        <w:rPr>
          <w:lang w:eastAsia="en-US"/>
        </w:rPr>
        <w:t>2 dalies</w:t>
      </w:r>
      <w:r>
        <w:t xml:space="preserve"> 5 ir 6 punkt</w:t>
      </w:r>
      <w:r w:rsidR="00812F65">
        <w:t>u</w:t>
      </w:r>
      <w:r>
        <w:t>s, Ministrų, Vyriausybės įstaigų, įstaigų prie ministerijų ir kitų Vyriausybei pavaldžių ir atskaitingų viešojo administravimo subjektų norminių teisės aktų projektų rengimo taisyklių, patvirtintų Lietuvos Respublikos Vyriausybės 1994 m. rugpjūčio 11 d. nutarimu Nr.</w:t>
      </w:r>
      <w:r w:rsidR="00812F65">
        <w:t> </w:t>
      </w:r>
      <w:r>
        <w:t>728 „Dėl Lietuvos Respublikos Vyriausybės darbo reglamento patvirtinimo“</w:t>
      </w:r>
      <w:r w:rsidR="00B72286">
        <w:t>,</w:t>
      </w:r>
      <w:r>
        <w:t xml:space="preserve"> 19.4 punkt</w:t>
      </w:r>
      <w:r w:rsidR="00812F65">
        <w:t>ą</w:t>
      </w:r>
      <w:r>
        <w:t>;</w:t>
      </w:r>
    </w:p>
    <w:p w14:paraId="34FBED14" w14:textId="225CB05C" w:rsidR="00F120D6" w:rsidRDefault="00F120D6" w:rsidP="00B86C40">
      <w:pPr>
        <w:shd w:val="clear" w:color="auto" w:fill="FFFFFF"/>
        <w:tabs>
          <w:tab w:val="left" w:pos="1134"/>
        </w:tabs>
        <w:ind w:right="-2" w:firstLine="709"/>
        <w:jc w:val="both"/>
      </w:pPr>
      <w:r>
        <w:t>2)</w:t>
      </w:r>
      <w:r>
        <w:tab/>
      </w:r>
      <w:r w:rsidRPr="00DD2BC2">
        <w:t>Lietuvos Respublikos sveikatos apsaugos ministro 2000 m. sausio 6 d. įsakym</w:t>
      </w:r>
      <w:r w:rsidR="00812F65">
        <w:t>o</w:t>
      </w:r>
      <w:r w:rsidRPr="00DD2BC2">
        <w:t xml:space="preserve"> Nr. 5 „Dėl Narkotinių ir psichotropinių medžiagų sąrašų patvirtinimo“ </w:t>
      </w:r>
      <w:r>
        <w:t>2</w:t>
      </w:r>
      <w:r w:rsidRPr="00F120D6">
        <w:rPr>
          <w:vertAlign w:val="superscript"/>
        </w:rPr>
        <w:t>1</w:t>
      </w:r>
      <w:r>
        <w:t xml:space="preserve"> punktas </w:t>
      </w:r>
      <w:r w:rsidR="00812F65">
        <w:t>atitinka</w:t>
      </w:r>
      <w:r>
        <w:t xml:space="preserve"> Lietuvos Respublikos Konstitucijos 135 straipsnio 1 dal</w:t>
      </w:r>
      <w:r w:rsidR="00812F65">
        <w:t>į</w:t>
      </w:r>
      <w:r>
        <w:t>, Lietuvos Respublikos viešojo administravimo įstatymo 3 straipsnio 4 punkte įtvirtint</w:t>
      </w:r>
      <w:r w:rsidR="00812F65">
        <w:t xml:space="preserve">ą </w:t>
      </w:r>
      <w:r>
        <w:t>įstatymo viršenybės princip</w:t>
      </w:r>
      <w:r w:rsidR="00812F65">
        <w:t>ą</w:t>
      </w:r>
      <w:r>
        <w:t>;</w:t>
      </w:r>
    </w:p>
    <w:p w14:paraId="3FC2EA50" w14:textId="644E1357" w:rsidR="00F120D6" w:rsidRDefault="00F120D6" w:rsidP="00B86C40">
      <w:pPr>
        <w:shd w:val="clear" w:color="auto" w:fill="FFFFFF"/>
        <w:tabs>
          <w:tab w:val="left" w:pos="1134"/>
        </w:tabs>
        <w:ind w:right="-2" w:firstLine="709"/>
        <w:jc w:val="both"/>
      </w:pPr>
      <w:r>
        <w:t>3)</w:t>
      </w:r>
      <w:r>
        <w:tab/>
      </w:r>
      <w:r w:rsidRPr="00F120D6">
        <w:t>Lietuvos Respublikos sveikatos apsaugos ministro 2003 m. balandžio 23 d. įsakymas Nr.</w:t>
      </w:r>
      <w:r>
        <w:t> </w:t>
      </w:r>
      <w:r w:rsidRPr="00F120D6">
        <w:t>V-239 „Dėl Narkotinių ir psichotropinių medžiagų nedidelio, didelio ir labai didelio kiekio nustatymo rekomendacijų“ ir šiuo įsakymu patvirtintos Narkotinių ir psichotropinių medžiagų nedidelio, didelio ir labai didelio kiekio nustatymo rekomendacijos</w:t>
      </w:r>
      <w:r>
        <w:t xml:space="preserve"> </w:t>
      </w:r>
      <w:r w:rsidR="00812F65">
        <w:t>atitinka</w:t>
      </w:r>
      <w:r>
        <w:t xml:space="preserve"> Lietuvos Respublikos Konstitucijos 5 straipsnio 2 dal</w:t>
      </w:r>
      <w:r w:rsidR="00812F65">
        <w:t>į</w:t>
      </w:r>
      <w:r>
        <w:t>, 31 straipsnio 4 dal</w:t>
      </w:r>
      <w:r w:rsidR="00812F65">
        <w:t>į</w:t>
      </w:r>
      <w:r>
        <w:t xml:space="preserve"> ir Lietuvos Respublikos Konstitucijoje įtvirtint</w:t>
      </w:r>
      <w:r w:rsidR="00812F65">
        <w:t>u</w:t>
      </w:r>
      <w:r>
        <w:t>s teisinės valstybės, teisinio tikrumo, teisinio saugumo, teisėtų lūkesčių apsaugos princip</w:t>
      </w:r>
      <w:r w:rsidR="00812F65">
        <w:t>u</w:t>
      </w:r>
      <w:r>
        <w:t>s,</w:t>
      </w:r>
      <w:r w:rsidRPr="00F120D6">
        <w:t xml:space="preserve"> </w:t>
      </w:r>
      <w:r>
        <w:t>Lietuvos Respublikos viešojo administravimo įstatymo 3 straipsnio 4 punkte įtvirtint</w:t>
      </w:r>
      <w:r w:rsidR="00812F65">
        <w:t>ą</w:t>
      </w:r>
      <w:r>
        <w:t xml:space="preserve"> įstatymo viršenybės princip</w:t>
      </w:r>
      <w:r w:rsidR="00812F65">
        <w:t>ą</w:t>
      </w:r>
      <w:r>
        <w:t xml:space="preserve">, </w:t>
      </w:r>
      <w:r w:rsidRPr="00227703">
        <w:t>Lietuvos Respublikos teisėkūros pagrindų įstatymo 3</w:t>
      </w:r>
      <w:r w:rsidR="00B86C40" w:rsidRPr="00227703">
        <w:t> </w:t>
      </w:r>
      <w:r w:rsidRPr="00227703">
        <w:t>straipsnio</w:t>
      </w:r>
      <w:r w:rsidR="00AE3B24">
        <w:t xml:space="preserve"> </w:t>
      </w:r>
      <w:r w:rsidR="00AE3B24">
        <w:rPr>
          <w:lang w:eastAsia="en-US"/>
        </w:rPr>
        <w:t>2 dalies</w:t>
      </w:r>
      <w:r w:rsidRPr="00227703">
        <w:t xml:space="preserve"> 5 ir 6 punkt</w:t>
      </w:r>
      <w:r w:rsidR="00812F65">
        <w:t>u</w:t>
      </w:r>
      <w:r w:rsidRPr="00227703">
        <w:t>s,</w:t>
      </w:r>
      <w:r>
        <w:t xml:space="preserve"> Ministrų, Vyriausybės įstaigų, įstaigų prie ministerijų ir kitų Vyriausybei pavaldžių ir atskaitingų viešojo administravimo subjektų norminių teisės aktų projektų rengimo taisyklių, patvirtintų Lietuvos Respublikos Vyriausybės 1994 m. rugpjūčio 11 d. nutarimu Nr. 728 „Dėl Lietuvos Respublikos Vyriausybės darbo reglamento patvirtinimo“</w:t>
      </w:r>
      <w:r w:rsidR="00B72286">
        <w:t>,</w:t>
      </w:r>
      <w:r>
        <w:t xml:space="preserve"> 19.4 punkt</w:t>
      </w:r>
      <w:r w:rsidR="00812F65">
        <w:t>ą.</w:t>
      </w:r>
    </w:p>
    <w:p w14:paraId="38CC1AE5" w14:textId="7017F399" w:rsidR="00BE7CCC" w:rsidRPr="00542FA2" w:rsidRDefault="00BE7CCC" w:rsidP="00BE7CCC">
      <w:pPr>
        <w:shd w:val="clear" w:color="auto" w:fill="FFFFFF"/>
        <w:ind w:right="-2" w:firstLine="709"/>
        <w:jc w:val="both"/>
      </w:pPr>
      <w:r w:rsidRPr="00227703">
        <w:rPr>
          <w:bCs/>
        </w:rPr>
        <w:lastRenderedPageBreak/>
        <w:t xml:space="preserve">Pareiškėjo </w:t>
      </w:r>
      <w:r w:rsidRPr="00227703">
        <w:t xml:space="preserve">Lietuvos Respublikos Seimo nario Vitalijaus Gailiaus patikslinto pareiškimo dalį, kuria prašoma pripažinti, kad Tarpžinybinės psichoaktyvų efektą sukeliančių medžiagų rizikos vertinimo komisijos darbo reglamento, patvirtinto Narkotikų, tabako ir alkoholio kontrolės departamento direktoriaus 2011 m. gegužės 10 d. įsakymu Nr. T1-90 „Dėl Tarpžinybinės psichoaktyvų efektą sukeliančių medžiagų rizikos vertinimo komisijos sudarymo ir jos darbo reglamento patvirtinimo“, 22 punktas prieštarauja Lietuvos Respublikos teisėkūros pagrindų įstatymo 3 straipsnio </w:t>
      </w:r>
      <w:r w:rsidR="00AE3B24">
        <w:rPr>
          <w:lang w:eastAsia="en-US"/>
        </w:rPr>
        <w:t>2</w:t>
      </w:r>
      <w:r w:rsidR="00AE3B24">
        <w:rPr>
          <w:lang w:eastAsia="en-US"/>
        </w:rPr>
        <w:t> </w:t>
      </w:r>
      <w:r w:rsidR="00AE3B24">
        <w:rPr>
          <w:lang w:eastAsia="en-US"/>
        </w:rPr>
        <w:t xml:space="preserve">dalies </w:t>
      </w:r>
      <w:r w:rsidRPr="00227703">
        <w:t>5 ir 6 punktams, laikyti nepaduota.</w:t>
      </w:r>
    </w:p>
    <w:p w14:paraId="1171D9AE" w14:textId="0398FD7A" w:rsidR="00EB6AEF" w:rsidRDefault="00EB6AEF" w:rsidP="00F83C42">
      <w:pPr>
        <w:shd w:val="clear" w:color="auto" w:fill="FFFFFF"/>
        <w:ind w:right="75" w:firstLine="709"/>
        <w:jc w:val="both"/>
      </w:pPr>
      <w:r>
        <w:t xml:space="preserve">Atsakovu byloje laikyti Lietuvos Respublikos sveikatos apsaugos ministeriją. </w:t>
      </w:r>
    </w:p>
    <w:p w14:paraId="25B90B08" w14:textId="49C93697" w:rsidR="009A762B" w:rsidRPr="00914776" w:rsidRDefault="00EB6AEF" w:rsidP="00F83C42">
      <w:pPr>
        <w:shd w:val="clear" w:color="auto" w:fill="FFFFFF"/>
        <w:ind w:right="75" w:firstLine="709"/>
        <w:jc w:val="both"/>
        <w:rPr>
          <w:bCs/>
        </w:rPr>
      </w:pPr>
      <w:r>
        <w:t>Išsiųsti atsakovui Lietuvos Respublikos sveikatos apsaugos ministerijai šios nutarties bei pareiškėj</w:t>
      </w:r>
      <w:r w:rsidR="00890CF3">
        <w:t>o</w:t>
      </w:r>
      <w:r>
        <w:t xml:space="preserve"> Lietuvos Respublikos Seimo nari</w:t>
      </w:r>
      <w:r w:rsidR="00890CF3">
        <w:t>o</w:t>
      </w:r>
      <w:r>
        <w:t xml:space="preserve"> </w:t>
      </w:r>
      <w:r w:rsidRPr="000458CF">
        <w:t>Vitalijaus Gailiaus</w:t>
      </w:r>
      <w:r w:rsidR="00890CF3">
        <w:t xml:space="preserve"> patikslinto </w:t>
      </w:r>
      <w:r>
        <w:t xml:space="preserve">pareiškimo kopijas ir įpareigoti iki 2025 m. </w:t>
      </w:r>
      <w:r w:rsidR="00766F03">
        <w:rPr>
          <w:lang w:eastAsia="en-US"/>
        </w:rPr>
        <w:t>lapkričio 3</w:t>
      </w:r>
      <w:r w:rsidR="00766F03" w:rsidRPr="00542FA2">
        <w:rPr>
          <w:lang w:eastAsia="en-US"/>
        </w:rPr>
        <w:t xml:space="preserve"> </w:t>
      </w:r>
      <w:r>
        <w:t>d.</w:t>
      </w:r>
      <w:r w:rsidR="00440343">
        <w:t xml:space="preserve"> (įskaitytinai)</w:t>
      </w:r>
      <w:r>
        <w:t xml:space="preserve"> pateikti atsiliepimą į</w:t>
      </w:r>
      <w:r w:rsidR="00BE7CCC">
        <w:t xml:space="preserve"> patikslintą</w:t>
      </w:r>
      <w:r>
        <w:t xml:space="preserve"> pareiškimą</w:t>
      </w:r>
      <w:r w:rsidR="009A762B" w:rsidRPr="00914776">
        <w:t xml:space="preserve">. </w:t>
      </w:r>
    </w:p>
    <w:p w14:paraId="46E8EEDD" w14:textId="77777777" w:rsidR="009A762B" w:rsidRPr="00914776" w:rsidRDefault="009A762B" w:rsidP="00F83C42">
      <w:pPr>
        <w:ind w:right="-2" w:firstLine="709"/>
        <w:jc w:val="both"/>
        <w:rPr>
          <w:bCs/>
        </w:rPr>
      </w:pPr>
      <w:r w:rsidRPr="00914776">
        <w:rPr>
          <w:bCs/>
        </w:rPr>
        <w:t>Nutartis neskundžiama.</w:t>
      </w:r>
    </w:p>
    <w:p w14:paraId="01AC9024" w14:textId="77777777" w:rsidR="009A762B" w:rsidRDefault="009A762B" w:rsidP="009A762B">
      <w:pPr>
        <w:shd w:val="clear" w:color="auto" w:fill="FFFFFF"/>
        <w:jc w:val="both"/>
        <w:rPr>
          <w:bCs/>
        </w:rPr>
      </w:pPr>
    </w:p>
    <w:p w14:paraId="51E417F8" w14:textId="77777777" w:rsidR="00BC6D65" w:rsidRDefault="00BC6D65" w:rsidP="009A762B">
      <w:pPr>
        <w:shd w:val="clear" w:color="auto" w:fill="FFFFFF"/>
        <w:jc w:val="both"/>
        <w:rPr>
          <w:bCs/>
        </w:rPr>
      </w:pPr>
    </w:p>
    <w:bookmarkEnd w:id="0"/>
    <w:p w14:paraId="65828CF1" w14:textId="5AD2DB71" w:rsidR="00890CF3" w:rsidRPr="00DD2BC2" w:rsidRDefault="00890CF3" w:rsidP="003F74DD">
      <w:pPr>
        <w:ind w:firstLine="851"/>
      </w:pPr>
      <w:r w:rsidRPr="00DD2BC2">
        <w:t>Teisėjai</w:t>
      </w:r>
      <w:r w:rsidRPr="00DD2BC2">
        <w:tab/>
      </w:r>
      <w:r w:rsidRPr="00DD2BC2">
        <w:tab/>
      </w:r>
      <w:r w:rsidRPr="00DD2BC2">
        <w:tab/>
      </w:r>
      <w:r w:rsidRPr="00DD2BC2">
        <w:tab/>
      </w:r>
      <w:r w:rsidRPr="00DD2BC2">
        <w:tab/>
      </w:r>
      <w:r w:rsidRPr="00DD2BC2">
        <w:tab/>
      </w:r>
      <w:r w:rsidRPr="00DD2BC2">
        <w:tab/>
        <w:t>Artūras Drigotas</w:t>
      </w:r>
    </w:p>
    <w:p w14:paraId="5C65F123" w14:textId="77777777" w:rsidR="00890CF3" w:rsidRPr="00DD2BC2" w:rsidRDefault="00890CF3" w:rsidP="00890CF3">
      <w:r w:rsidRPr="00DD2BC2">
        <w:t xml:space="preserve"> </w:t>
      </w:r>
    </w:p>
    <w:p w14:paraId="4DE0A1A8" w14:textId="77777777" w:rsidR="00890CF3" w:rsidRPr="00DD2BC2" w:rsidRDefault="00890CF3" w:rsidP="00890CF3"/>
    <w:p w14:paraId="3DA690FC" w14:textId="77777777" w:rsidR="00890CF3" w:rsidRPr="00DD2BC2" w:rsidRDefault="00890CF3" w:rsidP="00890CF3">
      <w:r w:rsidRPr="00DD2BC2">
        <w:tab/>
      </w:r>
      <w:r w:rsidRPr="00DD2BC2">
        <w:tab/>
      </w:r>
      <w:r w:rsidRPr="00DD2BC2">
        <w:tab/>
      </w:r>
      <w:r w:rsidRPr="00DD2BC2">
        <w:tab/>
      </w:r>
      <w:r w:rsidRPr="00DD2BC2">
        <w:tab/>
      </w:r>
      <w:r w:rsidRPr="00DD2BC2">
        <w:tab/>
      </w:r>
      <w:r w:rsidRPr="00DD2BC2">
        <w:tab/>
      </w:r>
      <w:r w:rsidRPr="00DD2BC2">
        <w:tab/>
      </w:r>
      <w:r w:rsidRPr="00DD2BC2">
        <w:tab/>
        <w:t xml:space="preserve">Dalia </w:t>
      </w:r>
      <w:proofErr w:type="spellStart"/>
      <w:r w:rsidRPr="00DD2BC2">
        <w:t>Višinskienė</w:t>
      </w:r>
      <w:proofErr w:type="spellEnd"/>
    </w:p>
    <w:p w14:paraId="3A14DD0D" w14:textId="77777777" w:rsidR="00890CF3" w:rsidRPr="00DD2BC2" w:rsidRDefault="00890CF3" w:rsidP="00890CF3"/>
    <w:p w14:paraId="4D711CD4" w14:textId="77777777" w:rsidR="00890CF3" w:rsidRPr="00DD2BC2" w:rsidRDefault="00890CF3" w:rsidP="00890CF3"/>
    <w:p w14:paraId="076BDA72" w14:textId="77777777" w:rsidR="00890CF3" w:rsidRPr="00304DE1" w:rsidRDefault="00890CF3" w:rsidP="00890CF3">
      <w:r w:rsidRPr="00DD2BC2">
        <w:tab/>
      </w:r>
      <w:r w:rsidRPr="00DD2BC2">
        <w:tab/>
      </w:r>
      <w:r w:rsidRPr="00DD2BC2">
        <w:tab/>
      </w:r>
      <w:r w:rsidRPr="00DD2BC2">
        <w:tab/>
      </w:r>
      <w:r w:rsidRPr="00DD2BC2">
        <w:tab/>
      </w:r>
      <w:r w:rsidRPr="00DD2BC2">
        <w:tab/>
      </w:r>
      <w:r w:rsidRPr="00DD2BC2">
        <w:tab/>
      </w:r>
      <w:r w:rsidRPr="00DD2BC2">
        <w:tab/>
      </w:r>
      <w:r w:rsidRPr="00DD2BC2">
        <w:tab/>
        <w:t xml:space="preserve">Virginija </w:t>
      </w:r>
      <w:proofErr w:type="spellStart"/>
      <w:r w:rsidRPr="00DD2BC2">
        <w:t>Volskienė</w:t>
      </w:r>
      <w:proofErr w:type="spellEnd"/>
    </w:p>
    <w:p w14:paraId="4C21ACD3" w14:textId="3702123D" w:rsidR="00164C66" w:rsidRPr="00914776" w:rsidRDefault="00164C66" w:rsidP="00890CF3">
      <w:pPr>
        <w:shd w:val="clear" w:color="auto" w:fill="FFFFFF"/>
        <w:jc w:val="both"/>
      </w:pPr>
    </w:p>
    <w:sectPr w:rsidR="00164C66" w:rsidRPr="00914776" w:rsidSect="00F83C42">
      <w:headerReference w:type="default" r:id="rId9"/>
      <w:pgSz w:w="11909" w:h="16834" w:code="9"/>
      <w:pgMar w:top="1134" w:right="567" w:bottom="567"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47333F" w14:textId="77777777" w:rsidR="00DE3B67" w:rsidRDefault="00DE3B67">
      <w:r>
        <w:separator/>
      </w:r>
    </w:p>
  </w:endnote>
  <w:endnote w:type="continuationSeparator" w:id="0">
    <w:p w14:paraId="416D1988" w14:textId="77777777" w:rsidR="00DE3B67" w:rsidRDefault="00DE3B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BA"/>
    <w:family w:val="swiss"/>
    <w:pitch w:val="variable"/>
    <w:sig w:usb0="A00006FF" w:usb1="4000205B" w:usb2="00000010" w:usb3="00000000" w:csb0="0000019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64DFAD" w14:textId="77777777" w:rsidR="00DE3B67" w:rsidRDefault="00DE3B67">
      <w:r>
        <w:separator/>
      </w:r>
    </w:p>
  </w:footnote>
  <w:footnote w:type="continuationSeparator" w:id="0">
    <w:p w14:paraId="476F450A" w14:textId="77777777" w:rsidR="00DE3B67" w:rsidRDefault="00DE3B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941685"/>
      <w:docPartObj>
        <w:docPartGallery w:val="Page Numbers (Top of Page)"/>
        <w:docPartUnique/>
      </w:docPartObj>
    </w:sdtPr>
    <w:sdtEndPr>
      <w:rPr>
        <w:sz w:val="20"/>
        <w:szCs w:val="20"/>
      </w:rPr>
    </w:sdtEndPr>
    <w:sdtContent>
      <w:p w14:paraId="307BB728" w14:textId="77777777" w:rsidR="00081F6D" w:rsidRPr="00114D16" w:rsidRDefault="00000000">
        <w:pPr>
          <w:pStyle w:val="Antrats"/>
          <w:jc w:val="center"/>
          <w:rPr>
            <w:sz w:val="20"/>
            <w:szCs w:val="20"/>
          </w:rPr>
        </w:pPr>
        <w:r w:rsidRPr="00114D16">
          <w:rPr>
            <w:sz w:val="20"/>
            <w:szCs w:val="20"/>
          </w:rPr>
          <w:fldChar w:fldCharType="begin"/>
        </w:r>
        <w:r w:rsidRPr="00114D16">
          <w:rPr>
            <w:sz w:val="20"/>
            <w:szCs w:val="20"/>
          </w:rPr>
          <w:instrText xml:space="preserve"> PAGE   \* MERGEFORMAT </w:instrText>
        </w:r>
        <w:r w:rsidRPr="00114D16">
          <w:rPr>
            <w:sz w:val="20"/>
            <w:szCs w:val="20"/>
          </w:rPr>
          <w:fldChar w:fldCharType="separate"/>
        </w:r>
        <w:r>
          <w:rPr>
            <w:noProof/>
            <w:sz w:val="20"/>
            <w:szCs w:val="20"/>
          </w:rPr>
          <w:t>3</w:t>
        </w:r>
        <w:r w:rsidRPr="00114D16">
          <w:rPr>
            <w:sz w:val="20"/>
            <w:szCs w:val="20"/>
          </w:rPr>
          <w:fldChar w:fldCharType="end"/>
        </w:r>
      </w:p>
    </w:sdtContent>
  </w:sdt>
  <w:p w14:paraId="152E44B0" w14:textId="77777777" w:rsidR="00081F6D" w:rsidRDefault="00081F6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227337"/>
    <w:multiLevelType w:val="multilevel"/>
    <w:tmpl w:val="B194F688"/>
    <w:lvl w:ilvl="0">
      <w:start w:val="11"/>
      <w:numFmt w:val="decimal"/>
      <w:lvlText w:val="%1."/>
      <w:lvlJc w:val="left"/>
      <w:rPr>
        <w:rFonts w:ascii="Verdana" w:eastAsia="Verdana" w:hAnsi="Verdana" w:cs="Verdana"/>
        <w:b w:val="0"/>
        <w:bCs w:val="0"/>
        <w:i w:val="0"/>
        <w:iCs w:val="0"/>
        <w:smallCaps w:val="0"/>
        <w:strike w:val="0"/>
        <w:color w:val="000000"/>
        <w:spacing w:val="0"/>
        <w:w w:val="100"/>
        <w:position w:val="0"/>
        <w:sz w:val="21"/>
        <w:szCs w:val="21"/>
        <w:u w:val="none"/>
        <w:lang w:val="lt-LT" w:eastAsia="lt-LT" w:bidi="lt-LT"/>
      </w:rPr>
    </w:lvl>
    <w:lvl w:ilvl="1">
      <w:start w:val="1"/>
      <w:numFmt w:val="decimal"/>
      <w:lvlText w:val="%1.%2."/>
      <w:lvlJc w:val="left"/>
      <w:rPr>
        <w:rFonts w:ascii="Verdana" w:eastAsia="Verdana" w:hAnsi="Verdana" w:cs="Verdana"/>
        <w:b w:val="0"/>
        <w:bCs w:val="0"/>
        <w:i w:val="0"/>
        <w:iCs w:val="0"/>
        <w:smallCaps w:val="0"/>
        <w:strike w:val="0"/>
        <w:color w:val="000000"/>
        <w:spacing w:val="0"/>
        <w:w w:val="100"/>
        <w:position w:val="0"/>
        <w:sz w:val="21"/>
        <w:szCs w:val="21"/>
        <w:u w:val="none"/>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5580702"/>
    <w:multiLevelType w:val="hybridMultilevel"/>
    <w:tmpl w:val="961421F4"/>
    <w:lvl w:ilvl="0" w:tplc="23FA785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462E1E6F"/>
    <w:multiLevelType w:val="multilevel"/>
    <w:tmpl w:val="6512C23A"/>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21"/>
        <w:szCs w:val="21"/>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3DB2FB1"/>
    <w:multiLevelType w:val="multilevel"/>
    <w:tmpl w:val="0427001F"/>
    <w:lvl w:ilvl="0">
      <w:start w:val="1"/>
      <w:numFmt w:val="decimal"/>
      <w:lvlText w:val="%1."/>
      <w:lvlJc w:val="left"/>
      <w:pPr>
        <w:ind w:left="360" w:hanging="360"/>
      </w:pPr>
    </w:lvl>
    <w:lvl w:ilvl="1">
      <w:start w:val="1"/>
      <w:numFmt w:val="decimal"/>
      <w:lvlText w:val="%1.%2."/>
      <w:lvlJc w:val="left"/>
      <w:pPr>
        <w:ind w:left="156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BC77CC5"/>
    <w:multiLevelType w:val="multilevel"/>
    <w:tmpl w:val="0427001F"/>
    <w:lvl w:ilvl="0">
      <w:start w:val="1"/>
      <w:numFmt w:val="decimal"/>
      <w:lvlText w:val="%1."/>
      <w:lvlJc w:val="left"/>
      <w:pPr>
        <w:ind w:left="360" w:hanging="360"/>
      </w:pPr>
    </w:lvl>
    <w:lvl w:ilvl="1">
      <w:start w:val="1"/>
      <w:numFmt w:val="decimal"/>
      <w:lvlText w:val="%1.%2."/>
      <w:lvlJc w:val="left"/>
      <w:pPr>
        <w:ind w:left="156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73514515"/>
    <w:multiLevelType w:val="hybridMultilevel"/>
    <w:tmpl w:val="581448C4"/>
    <w:lvl w:ilvl="0" w:tplc="A980139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15:restartNumberingAfterBreak="0">
    <w:nsid w:val="7B7D3B35"/>
    <w:multiLevelType w:val="hybridMultilevel"/>
    <w:tmpl w:val="961421F4"/>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num w:numId="1" w16cid:durableId="1737781580">
    <w:abstractNumId w:val="2"/>
  </w:num>
  <w:num w:numId="2" w16cid:durableId="2042121947">
    <w:abstractNumId w:val="0"/>
  </w:num>
  <w:num w:numId="3" w16cid:durableId="541555291">
    <w:abstractNumId w:val="5"/>
  </w:num>
  <w:num w:numId="4" w16cid:durableId="1962228501">
    <w:abstractNumId w:val="3"/>
  </w:num>
  <w:num w:numId="5" w16cid:durableId="1654288418">
    <w:abstractNumId w:val="4"/>
  </w:num>
  <w:num w:numId="6" w16cid:durableId="693726175">
    <w:abstractNumId w:val="1"/>
  </w:num>
  <w:num w:numId="7" w16cid:durableId="26242558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62B"/>
    <w:rsid w:val="00000864"/>
    <w:rsid w:val="00001CEA"/>
    <w:rsid w:val="00015E1C"/>
    <w:rsid w:val="00021CD7"/>
    <w:rsid w:val="000402F6"/>
    <w:rsid w:val="000447C5"/>
    <w:rsid w:val="00051CF2"/>
    <w:rsid w:val="00055631"/>
    <w:rsid w:val="0005623D"/>
    <w:rsid w:val="00057D98"/>
    <w:rsid w:val="00081F6D"/>
    <w:rsid w:val="000850A2"/>
    <w:rsid w:val="000B16E6"/>
    <w:rsid w:val="000C5783"/>
    <w:rsid w:val="000D2DB3"/>
    <w:rsid w:val="000D5442"/>
    <w:rsid w:val="000E1AEA"/>
    <w:rsid w:val="00115A17"/>
    <w:rsid w:val="00140D08"/>
    <w:rsid w:val="00142737"/>
    <w:rsid w:val="00162787"/>
    <w:rsid w:val="00164C66"/>
    <w:rsid w:val="00177C4E"/>
    <w:rsid w:val="00183ED5"/>
    <w:rsid w:val="001A7AB3"/>
    <w:rsid w:val="001C2285"/>
    <w:rsid w:val="001D0701"/>
    <w:rsid w:val="001D2EA9"/>
    <w:rsid w:val="001D472D"/>
    <w:rsid w:val="001E0F17"/>
    <w:rsid w:val="001E7D9E"/>
    <w:rsid w:val="001F217E"/>
    <w:rsid w:val="001F3351"/>
    <w:rsid w:val="001F635D"/>
    <w:rsid w:val="001F641F"/>
    <w:rsid w:val="0020273F"/>
    <w:rsid w:val="00205137"/>
    <w:rsid w:val="002071C5"/>
    <w:rsid w:val="00227703"/>
    <w:rsid w:val="00237A86"/>
    <w:rsid w:val="00266600"/>
    <w:rsid w:val="00274FE5"/>
    <w:rsid w:val="00280EC0"/>
    <w:rsid w:val="002A62C2"/>
    <w:rsid w:val="002B033B"/>
    <w:rsid w:val="002B4F21"/>
    <w:rsid w:val="002B567F"/>
    <w:rsid w:val="002C12A2"/>
    <w:rsid w:val="002C5BB6"/>
    <w:rsid w:val="0030067D"/>
    <w:rsid w:val="00330AD7"/>
    <w:rsid w:val="003630CF"/>
    <w:rsid w:val="003D0AC0"/>
    <w:rsid w:val="003E3044"/>
    <w:rsid w:val="003F74DD"/>
    <w:rsid w:val="004063A3"/>
    <w:rsid w:val="00411BB8"/>
    <w:rsid w:val="004155AE"/>
    <w:rsid w:val="0041643F"/>
    <w:rsid w:val="00440343"/>
    <w:rsid w:val="004629C2"/>
    <w:rsid w:val="00476051"/>
    <w:rsid w:val="00484303"/>
    <w:rsid w:val="00494EC0"/>
    <w:rsid w:val="004B1730"/>
    <w:rsid w:val="004B5AB4"/>
    <w:rsid w:val="004B6081"/>
    <w:rsid w:val="004B6237"/>
    <w:rsid w:val="004D2669"/>
    <w:rsid w:val="004F265E"/>
    <w:rsid w:val="004F51EA"/>
    <w:rsid w:val="00500DB5"/>
    <w:rsid w:val="00504513"/>
    <w:rsid w:val="00512299"/>
    <w:rsid w:val="00523FC0"/>
    <w:rsid w:val="0052448E"/>
    <w:rsid w:val="00534394"/>
    <w:rsid w:val="005367EF"/>
    <w:rsid w:val="00537406"/>
    <w:rsid w:val="00545343"/>
    <w:rsid w:val="0056278D"/>
    <w:rsid w:val="00563BE1"/>
    <w:rsid w:val="005932C7"/>
    <w:rsid w:val="005A057D"/>
    <w:rsid w:val="005A2B71"/>
    <w:rsid w:val="005C6F2D"/>
    <w:rsid w:val="005C79EA"/>
    <w:rsid w:val="0060344E"/>
    <w:rsid w:val="00615907"/>
    <w:rsid w:val="00616958"/>
    <w:rsid w:val="0062418E"/>
    <w:rsid w:val="006406FC"/>
    <w:rsid w:val="00646414"/>
    <w:rsid w:val="006526D0"/>
    <w:rsid w:val="00661611"/>
    <w:rsid w:val="006669C2"/>
    <w:rsid w:val="00672712"/>
    <w:rsid w:val="006826F9"/>
    <w:rsid w:val="00686496"/>
    <w:rsid w:val="00690292"/>
    <w:rsid w:val="0069156E"/>
    <w:rsid w:val="006C3C85"/>
    <w:rsid w:val="006C5F85"/>
    <w:rsid w:val="006D79B4"/>
    <w:rsid w:val="006E751F"/>
    <w:rsid w:val="00702E87"/>
    <w:rsid w:val="00716A1F"/>
    <w:rsid w:val="00720DD8"/>
    <w:rsid w:val="007240B8"/>
    <w:rsid w:val="0075588B"/>
    <w:rsid w:val="00766F03"/>
    <w:rsid w:val="00784840"/>
    <w:rsid w:val="00793D61"/>
    <w:rsid w:val="007A4725"/>
    <w:rsid w:val="007A6D63"/>
    <w:rsid w:val="007C450A"/>
    <w:rsid w:val="007D2388"/>
    <w:rsid w:val="007F7E68"/>
    <w:rsid w:val="00807E75"/>
    <w:rsid w:val="00810245"/>
    <w:rsid w:val="00812F65"/>
    <w:rsid w:val="00813F6F"/>
    <w:rsid w:val="00816AAC"/>
    <w:rsid w:val="00834340"/>
    <w:rsid w:val="0085366E"/>
    <w:rsid w:val="008548F5"/>
    <w:rsid w:val="00866A92"/>
    <w:rsid w:val="00866D25"/>
    <w:rsid w:val="00875CAB"/>
    <w:rsid w:val="00883D74"/>
    <w:rsid w:val="00890CF3"/>
    <w:rsid w:val="00912B2D"/>
    <w:rsid w:val="00914776"/>
    <w:rsid w:val="0092403A"/>
    <w:rsid w:val="009543F0"/>
    <w:rsid w:val="009622A9"/>
    <w:rsid w:val="009664F1"/>
    <w:rsid w:val="00975663"/>
    <w:rsid w:val="00975B5D"/>
    <w:rsid w:val="00984F7F"/>
    <w:rsid w:val="009A2209"/>
    <w:rsid w:val="009A6027"/>
    <w:rsid w:val="009A717E"/>
    <w:rsid w:val="009A762B"/>
    <w:rsid w:val="009B6028"/>
    <w:rsid w:val="009B6726"/>
    <w:rsid w:val="009D11FC"/>
    <w:rsid w:val="009D3536"/>
    <w:rsid w:val="009D7BF8"/>
    <w:rsid w:val="009E4D5E"/>
    <w:rsid w:val="009F4469"/>
    <w:rsid w:val="009F5360"/>
    <w:rsid w:val="009F6C65"/>
    <w:rsid w:val="00A05B96"/>
    <w:rsid w:val="00A17E1C"/>
    <w:rsid w:val="00A266D1"/>
    <w:rsid w:val="00A3787E"/>
    <w:rsid w:val="00A41831"/>
    <w:rsid w:val="00A45616"/>
    <w:rsid w:val="00A5533D"/>
    <w:rsid w:val="00A704EF"/>
    <w:rsid w:val="00A83E02"/>
    <w:rsid w:val="00A87013"/>
    <w:rsid w:val="00A93BD4"/>
    <w:rsid w:val="00AA05BE"/>
    <w:rsid w:val="00AA5C4F"/>
    <w:rsid w:val="00AB26B4"/>
    <w:rsid w:val="00AE3B24"/>
    <w:rsid w:val="00AF5432"/>
    <w:rsid w:val="00B2261E"/>
    <w:rsid w:val="00B27A2E"/>
    <w:rsid w:val="00B63865"/>
    <w:rsid w:val="00B72286"/>
    <w:rsid w:val="00B77DBA"/>
    <w:rsid w:val="00B86C40"/>
    <w:rsid w:val="00B902E1"/>
    <w:rsid w:val="00B92DF9"/>
    <w:rsid w:val="00BB2220"/>
    <w:rsid w:val="00BC6D65"/>
    <w:rsid w:val="00BE7CCC"/>
    <w:rsid w:val="00BF2182"/>
    <w:rsid w:val="00BF4F68"/>
    <w:rsid w:val="00C0127F"/>
    <w:rsid w:val="00C31B96"/>
    <w:rsid w:val="00C31DAC"/>
    <w:rsid w:val="00C52D61"/>
    <w:rsid w:val="00C54580"/>
    <w:rsid w:val="00C558CF"/>
    <w:rsid w:val="00C8116A"/>
    <w:rsid w:val="00C97C33"/>
    <w:rsid w:val="00CA0D53"/>
    <w:rsid w:val="00CB2B64"/>
    <w:rsid w:val="00CC498E"/>
    <w:rsid w:val="00CC7C4B"/>
    <w:rsid w:val="00CD51A0"/>
    <w:rsid w:val="00CE7F44"/>
    <w:rsid w:val="00D01622"/>
    <w:rsid w:val="00D01F45"/>
    <w:rsid w:val="00D03014"/>
    <w:rsid w:val="00D327E1"/>
    <w:rsid w:val="00D33111"/>
    <w:rsid w:val="00D3647D"/>
    <w:rsid w:val="00D41DA1"/>
    <w:rsid w:val="00D86019"/>
    <w:rsid w:val="00D954F2"/>
    <w:rsid w:val="00DC7F4D"/>
    <w:rsid w:val="00DE0362"/>
    <w:rsid w:val="00DE2F4E"/>
    <w:rsid w:val="00DE3B67"/>
    <w:rsid w:val="00DE3C46"/>
    <w:rsid w:val="00DF2D6D"/>
    <w:rsid w:val="00DF450A"/>
    <w:rsid w:val="00E05FB8"/>
    <w:rsid w:val="00E066BB"/>
    <w:rsid w:val="00E35A79"/>
    <w:rsid w:val="00E4244D"/>
    <w:rsid w:val="00E47A75"/>
    <w:rsid w:val="00E56A49"/>
    <w:rsid w:val="00E6609F"/>
    <w:rsid w:val="00E7006E"/>
    <w:rsid w:val="00E703A9"/>
    <w:rsid w:val="00E74504"/>
    <w:rsid w:val="00E761B1"/>
    <w:rsid w:val="00E7626C"/>
    <w:rsid w:val="00E8289F"/>
    <w:rsid w:val="00E94759"/>
    <w:rsid w:val="00E94C95"/>
    <w:rsid w:val="00E968A9"/>
    <w:rsid w:val="00EB6AEF"/>
    <w:rsid w:val="00EC1EF4"/>
    <w:rsid w:val="00EC5DA9"/>
    <w:rsid w:val="00ED211F"/>
    <w:rsid w:val="00EE50EC"/>
    <w:rsid w:val="00EF7CAA"/>
    <w:rsid w:val="00F10D41"/>
    <w:rsid w:val="00F120D6"/>
    <w:rsid w:val="00F15AC3"/>
    <w:rsid w:val="00F22C6A"/>
    <w:rsid w:val="00F678B3"/>
    <w:rsid w:val="00F83236"/>
    <w:rsid w:val="00F83C42"/>
    <w:rsid w:val="00FB7BE3"/>
    <w:rsid w:val="00FD4ED8"/>
    <w:rsid w:val="00FE62C2"/>
    <w:rsid w:val="00FE75B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B17C6"/>
  <w15:chartTrackingRefBased/>
  <w15:docId w15:val="{8C1459AA-26DD-4C10-822B-585A62C73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A762B"/>
    <w:pPr>
      <w:spacing w:after="0" w:line="240" w:lineRule="auto"/>
    </w:pPr>
    <w:rPr>
      <w:rFonts w:ascii="Times New Roman" w:eastAsia="Times New Roman" w:hAnsi="Times New Roman" w:cs="Times New Roman"/>
      <w:kern w:val="0"/>
      <w:sz w:val="24"/>
      <w:szCs w:val="24"/>
      <w:lang w:val="lt-LT" w:eastAsia="en-GB"/>
      <w14:ligatures w14:val="none"/>
    </w:rPr>
  </w:style>
  <w:style w:type="paragraph" w:styleId="Antrat3">
    <w:name w:val="heading 3"/>
    <w:basedOn w:val="prastasis"/>
    <w:next w:val="prastasis"/>
    <w:link w:val="Antrat3Diagrama"/>
    <w:qFormat/>
    <w:rsid w:val="009A762B"/>
    <w:pPr>
      <w:keepNext/>
      <w:widowControl w:val="0"/>
      <w:autoSpaceDE w:val="0"/>
      <w:autoSpaceDN w:val="0"/>
      <w:adjustRightInd w:val="0"/>
      <w:ind w:right="22"/>
      <w:jc w:val="center"/>
      <w:outlineLvl w:val="2"/>
    </w:pPr>
    <w:rPr>
      <w:b/>
      <w:bCs/>
      <w:szCs w:val="20"/>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basedOn w:val="Numatytasispastraiposriftas"/>
    <w:link w:val="Antrat3"/>
    <w:rsid w:val="009A762B"/>
    <w:rPr>
      <w:rFonts w:ascii="Times New Roman" w:eastAsia="Times New Roman" w:hAnsi="Times New Roman" w:cs="Times New Roman"/>
      <w:b/>
      <w:bCs/>
      <w:kern w:val="0"/>
      <w:sz w:val="24"/>
      <w:szCs w:val="20"/>
      <w14:ligatures w14:val="none"/>
    </w:rPr>
  </w:style>
  <w:style w:type="paragraph" w:styleId="Antrats">
    <w:name w:val="header"/>
    <w:basedOn w:val="prastasis"/>
    <w:link w:val="AntratsDiagrama"/>
    <w:uiPriority w:val="99"/>
    <w:unhideWhenUsed/>
    <w:rsid w:val="009A762B"/>
    <w:pPr>
      <w:tabs>
        <w:tab w:val="center" w:pos="4819"/>
        <w:tab w:val="right" w:pos="9638"/>
      </w:tabs>
    </w:pPr>
    <w:rPr>
      <w:lang w:val="en-GB" w:eastAsia="en-US"/>
    </w:rPr>
  </w:style>
  <w:style w:type="character" w:customStyle="1" w:styleId="AntratsDiagrama">
    <w:name w:val="Antraštės Diagrama"/>
    <w:basedOn w:val="Numatytasispastraiposriftas"/>
    <w:link w:val="Antrats"/>
    <w:uiPriority w:val="99"/>
    <w:rsid w:val="009A762B"/>
    <w:rPr>
      <w:rFonts w:ascii="Times New Roman" w:eastAsia="Times New Roman" w:hAnsi="Times New Roman" w:cs="Times New Roman"/>
      <w:kern w:val="0"/>
      <w:sz w:val="24"/>
      <w:szCs w:val="24"/>
      <w:lang w:val="en-GB"/>
      <w14:ligatures w14:val="none"/>
    </w:rPr>
  </w:style>
  <w:style w:type="character" w:customStyle="1" w:styleId="ui-provider">
    <w:name w:val="ui-provider"/>
    <w:basedOn w:val="Numatytasispastraiposriftas"/>
    <w:rsid w:val="00B92DF9"/>
  </w:style>
  <w:style w:type="paragraph" w:styleId="Sraopastraipa">
    <w:name w:val="List Paragraph"/>
    <w:basedOn w:val="prastasis"/>
    <w:uiPriority w:val="34"/>
    <w:qFormat/>
    <w:rsid w:val="006034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6997244">
      <w:bodyDiv w:val="1"/>
      <w:marLeft w:val="0"/>
      <w:marRight w:val="0"/>
      <w:marTop w:val="0"/>
      <w:marBottom w:val="0"/>
      <w:divBdr>
        <w:top w:val="none" w:sz="0" w:space="0" w:color="auto"/>
        <w:left w:val="none" w:sz="0" w:space="0" w:color="auto"/>
        <w:bottom w:val="none" w:sz="0" w:space="0" w:color="auto"/>
        <w:right w:val="none" w:sz="0" w:space="0" w:color="auto"/>
      </w:divBdr>
      <w:divsChild>
        <w:div w:id="241917271">
          <w:marLeft w:val="0"/>
          <w:marRight w:val="0"/>
          <w:marTop w:val="0"/>
          <w:marBottom w:val="0"/>
          <w:divBdr>
            <w:top w:val="none" w:sz="0" w:space="0" w:color="auto"/>
            <w:left w:val="none" w:sz="0" w:space="0" w:color="auto"/>
            <w:bottom w:val="none" w:sz="0" w:space="0" w:color="auto"/>
            <w:right w:val="none" w:sz="0" w:space="0" w:color="auto"/>
          </w:divBdr>
        </w:div>
      </w:divsChild>
    </w:div>
    <w:div w:id="1797868551">
      <w:bodyDiv w:val="1"/>
      <w:marLeft w:val="0"/>
      <w:marRight w:val="0"/>
      <w:marTop w:val="0"/>
      <w:marBottom w:val="0"/>
      <w:divBdr>
        <w:top w:val="none" w:sz="0" w:space="0" w:color="auto"/>
        <w:left w:val="none" w:sz="0" w:space="0" w:color="auto"/>
        <w:bottom w:val="none" w:sz="0" w:space="0" w:color="auto"/>
        <w:right w:val="none" w:sz="0" w:space="0" w:color="auto"/>
      </w:divBdr>
      <w:divsChild>
        <w:div w:id="8839107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D5308E-432E-44FE-9488-D22C69E3AC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1600</TotalTime>
  <Pages>4</Pages>
  <Words>9095</Words>
  <Characters>5185</Characters>
  <Application>Microsoft Office Word</Application>
  <DocSecurity>0</DocSecurity>
  <Lines>43</Lines>
  <Paragraphs>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Eimantė Pogužinskė</dc:creator>
  <cp:keywords/>
  <dc:description/>
  <cp:lastModifiedBy>Eimantė Pogužinskė</cp:lastModifiedBy>
  <cp:revision>58</cp:revision>
  <cp:lastPrinted>2025-09-30T11:38:00Z</cp:lastPrinted>
  <dcterms:created xsi:type="dcterms:W3CDTF">2025-06-26T05:55:00Z</dcterms:created>
  <dcterms:modified xsi:type="dcterms:W3CDTF">2025-10-01T04:49:00Z</dcterms:modified>
</cp:coreProperties>
</file>